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8F4E41" w14:textId="07BC4B8F" w:rsidR="00736706" w:rsidRPr="00736706" w:rsidRDefault="00736706" w:rsidP="00B4015F">
      <w:pPr>
        <w:pStyle w:val="MStitle"/>
        <w:rPr>
          <w:b w:val="0"/>
          <w:i/>
        </w:rPr>
      </w:pPr>
      <w:r w:rsidRPr="00736706">
        <w:rPr>
          <w:b w:val="0"/>
          <w:i/>
        </w:rPr>
        <w:t xml:space="preserve">Supplement of </w:t>
      </w:r>
    </w:p>
    <w:p w14:paraId="2F28B620" w14:textId="05198525" w:rsidR="00736706" w:rsidRDefault="00F90D9A" w:rsidP="00736706">
      <w:pPr>
        <w:pStyle w:val="MStitle"/>
      </w:pPr>
      <w:r w:rsidRPr="00683476">
        <w:t>Source apportionment resolved by time-of-day for improved deconvolution of primary source contributions to air pollution</w:t>
      </w:r>
    </w:p>
    <w:p w14:paraId="47DFC2B7" w14:textId="0E048D70" w:rsidR="00736706" w:rsidRDefault="00736706" w:rsidP="00736706">
      <w:pPr>
        <w:pStyle w:val="Authors"/>
      </w:pPr>
      <w:r>
        <w:rPr>
          <w:rFonts w:eastAsia="Open Sans"/>
        </w:rPr>
        <w:t>Sahil Bhandari</w:t>
      </w:r>
      <w:r>
        <w:rPr>
          <w:rFonts w:eastAsia="Open Sans"/>
          <w:vertAlign w:val="superscript"/>
        </w:rPr>
        <w:t>1</w:t>
      </w:r>
      <w:r>
        <w:rPr>
          <w:rFonts w:eastAsia="Open Sans"/>
        </w:rPr>
        <w:t>, Zainab Arub</w:t>
      </w:r>
      <w:r>
        <w:rPr>
          <w:rFonts w:eastAsia="Open Sans"/>
          <w:vertAlign w:val="superscript"/>
        </w:rPr>
        <w:t>2</w:t>
      </w:r>
      <w:r>
        <w:rPr>
          <w:rFonts w:eastAsia="Open Sans"/>
        </w:rPr>
        <w:t>, Gazala Habib</w:t>
      </w:r>
      <w:r>
        <w:rPr>
          <w:rFonts w:eastAsia="Open Sans"/>
          <w:vertAlign w:val="superscript"/>
        </w:rPr>
        <w:t>2</w:t>
      </w:r>
      <w:r>
        <w:rPr>
          <w:rFonts w:eastAsia="Open Sans"/>
        </w:rPr>
        <w:t>, Joshua S. Apte</w:t>
      </w:r>
      <w:r>
        <w:rPr>
          <w:rFonts w:eastAsia="Open Sans"/>
          <w:vertAlign w:val="superscript"/>
        </w:rPr>
        <w:t>3,4</w:t>
      </w:r>
      <w:r>
        <w:rPr>
          <w:rFonts w:eastAsia="Open Sans"/>
        </w:rPr>
        <w:t>, and Lea Hildebrandt Ruiz</w:t>
      </w:r>
      <w:r>
        <w:rPr>
          <w:rFonts w:eastAsia="Open Sans"/>
          <w:vertAlign w:val="superscript"/>
        </w:rPr>
        <w:t>5</w:t>
      </w:r>
    </w:p>
    <w:p w14:paraId="6E3DBF31" w14:textId="77777777" w:rsidR="00736706" w:rsidRDefault="00736706" w:rsidP="00736706">
      <w:pPr>
        <w:pStyle w:val="Affiliation"/>
        <w:rPr>
          <w:rFonts w:eastAsiaTheme="majorEastAsia"/>
        </w:rPr>
      </w:pPr>
      <w:r>
        <w:rPr>
          <w:rFonts w:eastAsiaTheme="majorEastAsia"/>
          <w:vertAlign w:val="superscript"/>
          <w:lang w:val="en-US"/>
        </w:rPr>
        <w:t>1</w:t>
      </w:r>
      <w:r>
        <w:rPr>
          <w:rFonts w:eastAsiaTheme="majorEastAsia"/>
          <w:lang w:val="en-US"/>
        </w:rPr>
        <w:t>Department of Mechanical Engineering, University of British Columbia, Vancouver, Canada</w:t>
      </w:r>
    </w:p>
    <w:p w14:paraId="51DCBD66" w14:textId="77777777" w:rsidR="00736706" w:rsidRDefault="00736706" w:rsidP="00736706">
      <w:pPr>
        <w:pStyle w:val="Affiliation"/>
        <w:rPr>
          <w:rFonts w:eastAsiaTheme="majorEastAsia"/>
        </w:rPr>
      </w:pPr>
      <w:r>
        <w:rPr>
          <w:rFonts w:eastAsiaTheme="majorEastAsia"/>
          <w:vertAlign w:val="superscript"/>
          <w:lang w:val="en-US"/>
        </w:rPr>
        <w:t>2</w:t>
      </w:r>
      <w:r>
        <w:rPr>
          <w:rFonts w:eastAsiaTheme="majorEastAsia"/>
          <w:lang w:val="en-US"/>
        </w:rPr>
        <w:t>Department of Civil Engineering, Indian Institute of Technology Delhi, New Delhi, India</w:t>
      </w:r>
    </w:p>
    <w:p w14:paraId="1C5AE2F9" w14:textId="77777777" w:rsidR="00736706" w:rsidRDefault="00736706" w:rsidP="00736706">
      <w:pPr>
        <w:pStyle w:val="Affiliation"/>
        <w:rPr>
          <w:rFonts w:eastAsiaTheme="majorEastAsia"/>
          <w:color w:val="333333"/>
        </w:rPr>
      </w:pPr>
      <w:r>
        <w:rPr>
          <w:rFonts w:eastAsiaTheme="majorEastAsia"/>
          <w:vertAlign w:val="superscript"/>
          <w:lang w:val="en-US"/>
        </w:rPr>
        <w:t>3</w:t>
      </w:r>
      <w:r>
        <w:rPr>
          <w:rFonts w:eastAsiaTheme="majorEastAsia"/>
          <w:color w:val="333333"/>
          <w:lang w:val="en-US"/>
        </w:rPr>
        <w:t>Department of Civil and Environmental Engineering, UC Berkeley, California, USA</w:t>
      </w:r>
    </w:p>
    <w:p w14:paraId="65C23A07" w14:textId="77777777" w:rsidR="00736706" w:rsidRDefault="00736706" w:rsidP="00736706">
      <w:pPr>
        <w:pStyle w:val="Affiliation"/>
        <w:rPr>
          <w:rFonts w:eastAsiaTheme="majorEastAsia"/>
          <w:color w:val="333333"/>
          <w:lang w:val="en-US"/>
        </w:rPr>
      </w:pPr>
      <w:r>
        <w:rPr>
          <w:rFonts w:eastAsiaTheme="majorEastAsia"/>
          <w:vertAlign w:val="superscript"/>
          <w:lang w:val="en-US"/>
        </w:rPr>
        <w:t>4</w:t>
      </w:r>
      <w:r>
        <w:rPr>
          <w:rFonts w:eastAsiaTheme="majorEastAsia"/>
          <w:color w:val="333333"/>
          <w:lang w:val="en-US"/>
        </w:rPr>
        <w:t>School of Public Health, UC Berkeley, California, USA</w:t>
      </w:r>
    </w:p>
    <w:p w14:paraId="67391AFF" w14:textId="77777777" w:rsidR="00736706" w:rsidRDefault="00736706" w:rsidP="00736706">
      <w:pPr>
        <w:pStyle w:val="Affiliation"/>
        <w:rPr>
          <w:i/>
        </w:rPr>
      </w:pPr>
      <w:r>
        <w:rPr>
          <w:rFonts w:eastAsiaTheme="majorEastAsia"/>
          <w:vertAlign w:val="superscript"/>
          <w:lang w:val="en-US"/>
        </w:rPr>
        <w:t>5</w:t>
      </w:r>
      <w:r>
        <w:rPr>
          <w:rFonts w:eastAsiaTheme="majorEastAsia"/>
          <w:lang w:val="en-US"/>
        </w:rPr>
        <w:t>McKetta Department of Chemical Engineering, The University of Texas at Austin, Texas, USA</w:t>
      </w:r>
      <w:r>
        <w:rPr>
          <w:i/>
        </w:rPr>
        <w:t xml:space="preserve"> </w:t>
      </w:r>
    </w:p>
    <w:p w14:paraId="4B2F3FC8" w14:textId="14CD9D87" w:rsidR="000A1B66" w:rsidRDefault="00736706" w:rsidP="00736706">
      <w:pPr>
        <w:pStyle w:val="Correspondence"/>
      </w:pPr>
      <w:r>
        <w:rPr>
          <w:i/>
        </w:rPr>
        <w:t>Correspondence to</w:t>
      </w:r>
      <w:r>
        <w:t>: Lea Hildebrandt Ruiz (lhr@che.utexas.edu)</w:t>
      </w:r>
    </w:p>
    <w:p w14:paraId="248546B2" w14:textId="0E48FED5" w:rsidR="00A66090" w:rsidRDefault="00A66090" w:rsidP="00A66090">
      <w:pPr>
        <w:pStyle w:val="Heading1"/>
      </w:pPr>
      <w:r w:rsidRPr="00A66090">
        <w:t>Additional Information for Proof of Concept for the Time-of-day PMF Approach</w:t>
      </w:r>
    </w:p>
    <w:p w14:paraId="2164E54E" w14:textId="77777777" w:rsidR="00A66090" w:rsidRPr="00A66090" w:rsidRDefault="00A66090" w:rsidP="00A66090"/>
    <w:p w14:paraId="24999DBE" w14:textId="443C6D22" w:rsidR="00A66090" w:rsidRPr="00A66090" w:rsidRDefault="00A66090" w:rsidP="00A66090">
      <w:pPr>
        <w:jc w:val="center"/>
        <w:rPr>
          <w:b/>
          <w:lang w:val="en-US"/>
        </w:rPr>
      </w:pPr>
      <w:r w:rsidRPr="00A66090">
        <w:rPr>
          <w:b/>
          <w:noProof/>
          <w:lang w:val="en-US"/>
        </w:rPr>
        <w:lastRenderedPageBreak/>
        <w:drawing>
          <wp:inline distT="0" distB="0" distL="0" distR="0" wp14:anchorId="6FEE50AB" wp14:editId="69BE4A7C">
            <wp:extent cx="4543425" cy="4594225"/>
            <wp:effectExtent l="0" t="0" r="9525" b="0"/>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A picture containing diagram&#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43425" cy="4594225"/>
                    </a:xfrm>
                    <a:prstGeom prst="rect">
                      <a:avLst/>
                    </a:prstGeom>
                    <a:noFill/>
                    <a:ln>
                      <a:noFill/>
                    </a:ln>
                  </pic:spPr>
                </pic:pic>
              </a:graphicData>
            </a:graphic>
          </wp:inline>
        </w:drawing>
      </w:r>
    </w:p>
    <w:p w14:paraId="344551F9" w14:textId="77777777" w:rsidR="00A66090" w:rsidRPr="00A66090" w:rsidRDefault="00A66090" w:rsidP="00A66090">
      <w:pPr>
        <w:pStyle w:val="Caption"/>
        <w:rPr>
          <w:lang w:val="en-US"/>
        </w:rPr>
      </w:pPr>
      <w:bookmarkStart w:id="0" w:name="_Toc64291914"/>
      <w:r w:rsidRPr="00A66090">
        <w:rPr>
          <w:lang w:val="en-US"/>
        </w:rPr>
        <w:t>Figure S1 Diurnal profiles of meteorological parameters (temperature, relative humidity, wind speed, wind direction, PBLH, VC, rain, and SWR flux) by season. Mean (+) and median (—) values by season and hour of the day are presented. We retrieved visibility and relative humidity (RH) data from the Indira Gandhi International Airport (IGIA). To obtain mesoscale data for hourly wind speed, direction, temperature (10m above ground level), SWR flux, and planetary boundary layer height (H), we used the NASA meteorological reanalysis dataset (MERRA2). Precipitation data for Delhi was retrieved from the European Centre for Medium-Range Weather Forecasts' reanalysis dataset, ERA-Interim (Gani et al., 2019).</w:t>
      </w:r>
      <w:bookmarkEnd w:id="0"/>
    </w:p>
    <w:p w14:paraId="13B03CD4" w14:textId="77777777" w:rsidR="00A66090" w:rsidRPr="00A66090" w:rsidRDefault="00A66090" w:rsidP="00A66090">
      <w:pPr>
        <w:pStyle w:val="Caption"/>
        <w:rPr>
          <w:lang w:val="en-US"/>
        </w:rPr>
      </w:pPr>
      <w:bookmarkStart w:id="1" w:name="_Toc64291818"/>
      <w:r w:rsidRPr="00A66090">
        <w:rPr>
          <w:lang w:val="en-US"/>
        </w:rPr>
        <w:t>Table S</w:t>
      </w:r>
      <w:r w:rsidRPr="00A66090">
        <w:rPr>
          <w:lang w:val="en-US"/>
        </w:rPr>
        <w:fldChar w:fldCharType="begin"/>
      </w:r>
      <w:r w:rsidRPr="00A66090">
        <w:rPr>
          <w:lang w:val="en-US"/>
        </w:rPr>
        <w:instrText xml:space="preserve"> SEQ Table \* ARABIC </w:instrText>
      </w:r>
      <w:r w:rsidRPr="00A66090">
        <w:rPr>
          <w:lang w:val="en-US"/>
        </w:rPr>
        <w:fldChar w:fldCharType="separate"/>
      </w:r>
      <w:r w:rsidRPr="00A66090">
        <w:rPr>
          <w:lang w:val="en-US"/>
        </w:rPr>
        <w:t>1</w:t>
      </w:r>
      <w:r w:rsidRPr="00A66090">
        <w:fldChar w:fldCharType="end"/>
      </w:r>
      <w:r w:rsidRPr="00A66090">
        <w:rPr>
          <w:lang w:val="en-US"/>
        </w:rPr>
        <w:t xml:space="preserve"> Seasonal summary of PM</w:t>
      </w:r>
      <w:r w:rsidRPr="00A66090">
        <w:rPr>
          <w:vertAlign w:val="subscript"/>
          <w:lang w:val="en-US"/>
        </w:rPr>
        <w:t>1</w:t>
      </w:r>
      <w:r w:rsidRPr="00A66090">
        <w:rPr>
          <w:lang w:val="en-US"/>
        </w:rPr>
        <w:t xml:space="preserve"> species—arithmetic mean (AM) for hourly concentrations.</w:t>
      </w:r>
      <w:bookmarkEnd w:id="1"/>
      <w:r w:rsidRPr="00A66090">
        <w:rPr>
          <w:lang w:val="en-US"/>
        </w:rPr>
        <w:t xml:space="preserve"> </w:t>
      </w:r>
    </w:p>
    <w:tbl>
      <w:tblPr>
        <w:tblStyle w:val="Copernicus"/>
        <w:tblW w:w="0" w:type="auto"/>
        <w:jc w:val="center"/>
        <w:tblLook w:val="04A0" w:firstRow="1" w:lastRow="0" w:firstColumn="1" w:lastColumn="0" w:noHBand="0" w:noVBand="1"/>
      </w:tblPr>
      <w:tblGrid>
        <w:gridCol w:w="878"/>
        <w:gridCol w:w="797"/>
        <w:gridCol w:w="966"/>
      </w:tblGrid>
      <w:tr w:rsidR="00A66090" w:rsidRPr="003E77F1" w14:paraId="005D5C64" w14:textId="77777777" w:rsidTr="00A66090">
        <w:trPr>
          <w:cnfStyle w:val="100000000000" w:firstRow="1" w:lastRow="0" w:firstColumn="0" w:lastColumn="0" w:oddVBand="0" w:evenVBand="0" w:oddHBand="0" w:evenHBand="0" w:firstRowFirstColumn="0" w:firstRowLastColumn="0" w:lastRowFirstColumn="0" w:lastRowLastColumn="0"/>
          <w:trHeight w:hRule="exac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B1A5426" w14:textId="77777777" w:rsidR="00A66090" w:rsidRPr="003E77F1" w:rsidRDefault="00A66090" w:rsidP="008C0D9F">
            <w:pPr>
              <w:rPr>
                <w:lang w:val="en-US"/>
              </w:rPr>
            </w:pPr>
          </w:p>
        </w:tc>
        <w:tc>
          <w:tcPr>
            <w:tcW w:w="0" w:type="auto"/>
            <w:noWrap/>
            <w:hideMark/>
          </w:tcPr>
          <w:p w14:paraId="6C1B2C6A"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Winter</w:t>
            </w:r>
          </w:p>
        </w:tc>
        <w:tc>
          <w:tcPr>
            <w:tcW w:w="0" w:type="auto"/>
            <w:noWrap/>
            <w:hideMark/>
          </w:tcPr>
          <w:p w14:paraId="6983CD06"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Monsoon</w:t>
            </w:r>
          </w:p>
        </w:tc>
      </w:tr>
      <w:tr w:rsidR="00A66090" w:rsidRPr="003E77F1" w14:paraId="4435242B" w14:textId="77777777" w:rsidTr="00A66090">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8AE0973" w14:textId="77777777" w:rsidR="00A66090" w:rsidRPr="003E77F1" w:rsidRDefault="00A66090" w:rsidP="008C0D9F">
            <w:pPr>
              <w:rPr>
                <w:lang w:val="en-US"/>
              </w:rPr>
            </w:pPr>
            <w:r w:rsidRPr="003E77F1">
              <w:rPr>
                <w:lang w:val="en-US"/>
              </w:rPr>
              <w:t>Org</w:t>
            </w:r>
          </w:p>
        </w:tc>
        <w:tc>
          <w:tcPr>
            <w:tcW w:w="0" w:type="auto"/>
            <w:noWrap/>
            <w:hideMark/>
          </w:tcPr>
          <w:p w14:paraId="67AD3F31"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112</w:t>
            </w:r>
          </w:p>
        </w:tc>
        <w:tc>
          <w:tcPr>
            <w:tcW w:w="0" w:type="auto"/>
            <w:noWrap/>
            <w:hideMark/>
          </w:tcPr>
          <w:p w14:paraId="7C5E2EC5"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23</w:t>
            </w:r>
          </w:p>
        </w:tc>
      </w:tr>
      <w:tr w:rsidR="00A66090" w:rsidRPr="003E77F1" w14:paraId="660D5C5F" w14:textId="77777777" w:rsidTr="00A66090">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5B94EFA" w14:textId="77777777" w:rsidR="00A66090" w:rsidRPr="003E77F1" w:rsidRDefault="00A66090" w:rsidP="008C0D9F">
            <w:pPr>
              <w:rPr>
                <w:lang w:val="en-US"/>
              </w:rPr>
            </w:pPr>
            <w:r w:rsidRPr="003E77F1">
              <w:rPr>
                <w:lang w:val="en-US"/>
              </w:rPr>
              <w:t>NH</w:t>
            </w:r>
            <w:r w:rsidRPr="003E77F1">
              <w:rPr>
                <w:vertAlign w:val="subscript"/>
                <w:lang w:val="en-US"/>
              </w:rPr>
              <w:t>4</w:t>
            </w:r>
          </w:p>
        </w:tc>
        <w:tc>
          <w:tcPr>
            <w:tcW w:w="0" w:type="auto"/>
            <w:noWrap/>
            <w:hideMark/>
          </w:tcPr>
          <w:p w14:paraId="71179FFD"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20</w:t>
            </w:r>
          </w:p>
        </w:tc>
        <w:tc>
          <w:tcPr>
            <w:tcW w:w="0" w:type="auto"/>
            <w:noWrap/>
            <w:hideMark/>
          </w:tcPr>
          <w:p w14:paraId="32619E94"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4.6</w:t>
            </w:r>
          </w:p>
        </w:tc>
      </w:tr>
      <w:tr w:rsidR="00A66090" w:rsidRPr="003E77F1" w14:paraId="6CC2A85F" w14:textId="77777777" w:rsidTr="00A66090">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99D82BA" w14:textId="77777777" w:rsidR="00A66090" w:rsidRPr="003E77F1" w:rsidRDefault="00A66090" w:rsidP="008C0D9F">
            <w:pPr>
              <w:rPr>
                <w:lang w:val="en-US"/>
              </w:rPr>
            </w:pPr>
            <w:r w:rsidRPr="003E77F1">
              <w:rPr>
                <w:lang w:val="en-US"/>
              </w:rPr>
              <w:t>Chl</w:t>
            </w:r>
          </w:p>
        </w:tc>
        <w:tc>
          <w:tcPr>
            <w:tcW w:w="0" w:type="auto"/>
            <w:noWrap/>
            <w:hideMark/>
          </w:tcPr>
          <w:p w14:paraId="1AACE7B9"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23</w:t>
            </w:r>
          </w:p>
        </w:tc>
        <w:tc>
          <w:tcPr>
            <w:tcW w:w="0" w:type="auto"/>
            <w:noWrap/>
            <w:hideMark/>
          </w:tcPr>
          <w:p w14:paraId="764268FD"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0.4</w:t>
            </w:r>
          </w:p>
        </w:tc>
      </w:tr>
      <w:tr w:rsidR="00A66090" w:rsidRPr="003E77F1" w14:paraId="5EF6D693" w14:textId="77777777" w:rsidTr="00A66090">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2C22519" w14:textId="77777777" w:rsidR="00A66090" w:rsidRPr="003E77F1" w:rsidRDefault="00A66090" w:rsidP="008C0D9F">
            <w:pPr>
              <w:rPr>
                <w:lang w:val="en-US"/>
              </w:rPr>
            </w:pPr>
            <w:r w:rsidRPr="003E77F1">
              <w:rPr>
                <w:lang w:val="en-US"/>
              </w:rPr>
              <w:t>NO</w:t>
            </w:r>
            <w:r w:rsidRPr="003E77F1">
              <w:rPr>
                <w:vertAlign w:val="subscript"/>
                <w:lang w:val="en-US"/>
              </w:rPr>
              <w:t>3</w:t>
            </w:r>
          </w:p>
        </w:tc>
        <w:tc>
          <w:tcPr>
            <w:tcW w:w="0" w:type="auto"/>
            <w:noWrap/>
            <w:hideMark/>
          </w:tcPr>
          <w:p w14:paraId="6D15E8CD"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24</w:t>
            </w:r>
          </w:p>
        </w:tc>
        <w:tc>
          <w:tcPr>
            <w:tcW w:w="0" w:type="auto"/>
            <w:noWrap/>
            <w:hideMark/>
          </w:tcPr>
          <w:p w14:paraId="7C90ED91"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3.6</w:t>
            </w:r>
          </w:p>
        </w:tc>
      </w:tr>
      <w:tr w:rsidR="00A66090" w:rsidRPr="003E77F1" w14:paraId="6DA169E0" w14:textId="77777777" w:rsidTr="00A66090">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E92ABD4" w14:textId="77777777" w:rsidR="00A66090" w:rsidRPr="003E77F1" w:rsidRDefault="00A66090" w:rsidP="008C0D9F">
            <w:pPr>
              <w:rPr>
                <w:lang w:val="en-US"/>
              </w:rPr>
            </w:pPr>
            <w:r w:rsidRPr="003E77F1">
              <w:rPr>
                <w:lang w:val="en-US"/>
              </w:rPr>
              <w:t>SO</w:t>
            </w:r>
            <w:r w:rsidRPr="003E77F1">
              <w:rPr>
                <w:vertAlign w:val="subscript"/>
                <w:lang w:val="en-US"/>
              </w:rPr>
              <w:t>4</w:t>
            </w:r>
          </w:p>
        </w:tc>
        <w:tc>
          <w:tcPr>
            <w:tcW w:w="0" w:type="auto"/>
            <w:noWrap/>
            <w:hideMark/>
          </w:tcPr>
          <w:p w14:paraId="1BD6C979"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16</w:t>
            </w:r>
          </w:p>
        </w:tc>
        <w:tc>
          <w:tcPr>
            <w:tcW w:w="0" w:type="auto"/>
            <w:noWrap/>
            <w:hideMark/>
          </w:tcPr>
          <w:p w14:paraId="19FBD830"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10</w:t>
            </w:r>
          </w:p>
        </w:tc>
      </w:tr>
      <w:tr w:rsidR="00A66090" w:rsidRPr="003E77F1" w14:paraId="78AB449C" w14:textId="77777777" w:rsidTr="00A66090">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467984E" w14:textId="77777777" w:rsidR="00A66090" w:rsidRPr="003E77F1" w:rsidRDefault="00A66090" w:rsidP="008C0D9F">
            <w:pPr>
              <w:rPr>
                <w:lang w:val="en-US"/>
              </w:rPr>
            </w:pPr>
            <w:r w:rsidRPr="003E77F1">
              <w:rPr>
                <w:lang w:val="en-US"/>
              </w:rPr>
              <w:t>BC</w:t>
            </w:r>
          </w:p>
        </w:tc>
        <w:tc>
          <w:tcPr>
            <w:tcW w:w="0" w:type="auto"/>
            <w:noWrap/>
            <w:hideMark/>
          </w:tcPr>
          <w:p w14:paraId="754AD1C2"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15</w:t>
            </w:r>
          </w:p>
        </w:tc>
        <w:tc>
          <w:tcPr>
            <w:tcW w:w="0" w:type="auto"/>
            <w:noWrap/>
            <w:hideMark/>
          </w:tcPr>
          <w:p w14:paraId="525DEF1E"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11</w:t>
            </w:r>
          </w:p>
        </w:tc>
      </w:tr>
      <w:tr w:rsidR="00A66090" w:rsidRPr="003E77F1" w14:paraId="05F0314A" w14:textId="77777777" w:rsidTr="00A66090">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D741865" w14:textId="77777777" w:rsidR="00A66090" w:rsidRPr="003E77F1" w:rsidRDefault="00A66090" w:rsidP="008C0D9F">
            <w:pPr>
              <w:rPr>
                <w:lang w:val="en-US"/>
              </w:rPr>
            </w:pPr>
            <w:r w:rsidRPr="003E77F1">
              <w:rPr>
                <w:lang w:val="en-US"/>
              </w:rPr>
              <w:t>NR-PM</w:t>
            </w:r>
            <w:r w:rsidRPr="003E77F1">
              <w:rPr>
                <w:vertAlign w:val="subscript"/>
                <w:lang w:val="en-US"/>
              </w:rPr>
              <w:t>1</w:t>
            </w:r>
          </w:p>
        </w:tc>
        <w:tc>
          <w:tcPr>
            <w:tcW w:w="0" w:type="auto"/>
            <w:noWrap/>
            <w:hideMark/>
          </w:tcPr>
          <w:p w14:paraId="49D8C11E"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195</w:t>
            </w:r>
          </w:p>
        </w:tc>
        <w:tc>
          <w:tcPr>
            <w:tcW w:w="0" w:type="auto"/>
            <w:noWrap/>
            <w:hideMark/>
          </w:tcPr>
          <w:p w14:paraId="1B75815B"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41</w:t>
            </w:r>
          </w:p>
        </w:tc>
      </w:tr>
    </w:tbl>
    <w:p w14:paraId="6A9FA452" w14:textId="1C780B12" w:rsidR="00A66090" w:rsidRPr="00A66090" w:rsidRDefault="00A66090" w:rsidP="00A66090">
      <w:pPr>
        <w:pStyle w:val="Caption"/>
        <w:rPr>
          <w:lang w:val="en-US"/>
        </w:rPr>
      </w:pPr>
      <w:bookmarkStart w:id="2" w:name="_Toc64291819"/>
      <w:r w:rsidRPr="00A66090">
        <w:rPr>
          <w:lang w:val="en-US"/>
        </w:rPr>
        <w:t>Table S2 Seasonally averaged meteorological variables in monsoon and winter 2017 (day</w:t>
      </w:r>
      <w:r>
        <w:rPr>
          <w:lang w:val="en-US"/>
        </w:rPr>
        <w:t>-D</w:t>
      </w:r>
      <w:r w:rsidRPr="00A66090">
        <w:rPr>
          <w:lang w:val="en-US"/>
        </w:rPr>
        <w:t>/night</w:t>
      </w:r>
      <w:r>
        <w:rPr>
          <w:lang w:val="en-US"/>
        </w:rPr>
        <w:t>-N</w:t>
      </w:r>
      <w:r w:rsidRPr="00A66090">
        <w:rPr>
          <w:lang w:val="en-US"/>
        </w:rPr>
        <w:t>)</w:t>
      </w:r>
      <w:bookmarkEnd w:id="2"/>
    </w:p>
    <w:tbl>
      <w:tblPr>
        <w:tblStyle w:val="Copernicus"/>
        <w:tblW w:w="0" w:type="auto"/>
        <w:jc w:val="center"/>
        <w:tblLook w:val="04A0" w:firstRow="1" w:lastRow="0" w:firstColumn="1" w:lastColumn="0" w:noHBand="0" w:noVBand="1"/>
      </w:tblPr>
      <w:tblGrid>
        <w:gridCol w:w="776"/>
        <w:gridCol w:w="839"/>
        <w:gridCol w:w="866"/>
        <w:gridCol w:w="1029"/>
        <w:gridCol w:w="1066"/>
        <w:gridCol w:w="971"/>
        <w:gridCol w:w="931"/>
      </w:tblGrid>
      <w:tr w:rsidR="00A66090" w:rsidRPr="003E77F1" w14:paraId="0B0B945E" w14:textId="77777777" w:rsidTr="00A66090">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96FBFB9" w14:textId="77777777" w:rsidR="00A66090" w:rsidRPr="003E77F1" w:rsidRDefault="00A66090" w:rsidP="008C0D9F">
            <w:pPr>
              <w:rPr>
                <w:lang w:val="en-US"/>
              </w:rPr>
            </w:pPr>
            <w:r w:rsidRPr="003E77F1">
              <w:rPr>
                <w:lang w:val="en-US"/>
              </w:rPr>
              <w:t xml:space="preserve">Season </w:t>
            </w:r>
          </w:p>
        </w:tc>
        <w:tc>
          <w:tcPr>
            <w:tcW w:w="0" w:type="auto"/>
            <w:hideMark/>
          </w:tcPr>
          <w:p w14:paraId="1F1ADF32"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 xml:space="preserve">T (K) </w:t>
            </w:r>
          </w:p>
          <w:p w14:paraId="64F14379"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(D/N)</w:t>
            </w:r>
          </w:p>
        </w:tc>
        <w:tc>
          <w:tcPr>
            <w:tcW w:w="0" w:type="auto"/>
            <w:hideMark/>
          </w:tcPr>
          <w:p w14:paraId="16B66FA5"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RH (%)</w:t>
            </w:r>
          </w:p>
          <w:p w14:paraId="6FE5DBFD"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(D/N)</w:t>
            </w:r>
          </w:p>
        </w:tc>
        <w:tc>
          <w:tcPr>
            <w:tcW w:w="0" w:type="auto"/>
            <w:hideMark/>
          </w:tcPr>
          <w:p w14:paraId="60356AF3"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VC (m</w:t>
            </w:r>
            <w:r w:rsidRPr="003E77F1">
              <w:rPr>
                <w:vertAlign w:val="superscript"/>
                <w:lang w:val="en-US"/>
              </w:rPr>
              <w:t>2</w:t>
            </w:r>
            <w:r w:rsidRPr="003E77F1">
              <w:rPr>
                <w:lang w:val="en-US"/>
              </w:rPr>
              <w:t>/s)</w:t>
            </w:r>
          </w:p>
        </w:tc>
        <w:tc>
          <w:tcPr>
            <w:tcW w:w="0" w:type="auto"/>
            <w:hideMark/>
          </w:tcPr>
          <w:p w14:paraId="7C54D7CC"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PBLH (m)</w:t>
            </w:r>
          </w:p>
          <w:p w14:paraId="5DE7A00C"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(D/N)</w:t>
            </w:r>
          </w:p>
        </w:tc>
        <w:tc>
          <w:tcPr>
            <w:tcW w:w="0" w:type="auto"/>
            <w:hideMark/>
          </w:tcPr>
          <w:p w14:paraId="19F3DEC7"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WS (m/s)</w:t>
            </w:r>
          </w:p>
          <w:p w14:paraId="3BB639C8"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(D/N)</w:t>
            </w:r>
          </w:p>
        </w:tc>
        <w:tc>
          <w:tcPr>
            <w:tcW w:w="0" w:type="auto"/>
            <w:hideMark/>
          </w:tcPr>
          <w:p w14:paraId="58D37E0E"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WD (°N)</w:t>
            </w:r>
          </w:p>
          <w:p w14:paraId="4497B51B" w14:textId="77777777" w:rsidR="00A66090" w:rsidRPr="003E77F1" w:rsidRDefault="00A66090" w:rsidP="008C0D9F">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(D/N)</w:t>
            </w:r>
          </w:p>
        </w:tc>
      </w:tr>
      <w:tr w:rsidR="00A66090" w:rsidRPr="003E77F1" w14:paraId="06259C28" w14:textId="77777777" w:rsidTr="00A66090">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6479F88" w14:textId="77777777" w:rsidR="00A66090" w:rsidRPr="003E77F1" w:rsidRDefault="00A66090" w:rsidP="008C0D9F">
            <w:pPr>
              <w:rPr>
                <w:lang w:val="en-US"/>
              </w:rPr>
            </w:pPr>
            <w:r w:rsidRPr="003E77F1">
              <w:rPr>
                <w:lang w:val="en-US"/>
              </w:rPr>
              <w:t>W17</w:t>
            </w:r>
          </w:p>
        </w:tc>
        <w:tc>
          <w:tcPr>
            <w:tcW w:w="0" w:type="auto"/>
            <w:hideMark/>
          </w:tcPr>
          <w:p w14:paraId="14C005E4"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290/286</w:t>
            </w:r>
          </w:p>
        </w:tc>
        <w:tc>
          <w:tcPr>
            <w:tcW w:w="0" w:type="auto"/>
            <w:hideMark/>
          </w:tcPr>
          <w:p w14:paraId="25AEBB5F"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 60/78</w:t>
            </w:r>
          </w:p>
        </w:tc>
        <w:tc>
          <w:tcPr>
            <w:tcW w:w="0" w:type="auto"/>
            <w:hideMark/>
          </w:tcPr>
          <w:p w14:paraId="3B56E030"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707/188</w:t>
            </w:r>
          </w:p>
        </w:tc>
        <w:tc>
          <w:tcPr>
            <w:tcW w:w="0" w:type="auto"/>
            <w:hideMark/>
          </w:tcPr>
          <w:p w14:paraId="0EE35F84"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920/340</w:t>
            </w:r>
          </w:p>
        </w:tc>
        <w:tc>
          <w:tcPr>
            <w:tcW w:w="0" w:type="auto"/>
            <w:hideMark/>
          </w:tcPr>
          <w:p w14:paraId="43D408C5"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 2.7/2.6</w:t>
            </w:r>
          </w:p>
        </w:tc>
        <w:tc>
          <w:tcPr>
            <w:tcW w:w="0" w:type="auto"/>
            <w:hideMark/>
          </w:tcPr>
          <w:p w14:paraId="386141C9"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300/300</w:t>
            </w:r>
          </w:p>
        </w:tc>
      </w:tr>
      <w:tr w:rsidR="00A66090" w:rsidRPr="003E77F1" w14:paraId="067D4DB6" w14:textId="77777777" w:rsidTr="00A66090">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BE45FBA" w14:textId="77777777" w:rsidR="00A66090" w:rsidRPr="003E77F1" w:rsidRDefault="00A66090" w:rsidP="008C0D9F">
            <w:pPr>
              <w:rPr>
                <w:lang w:val="en-US"/>
              </w:rPr>
            </w:pPr>
            <w:r w:rsidRPr="003E77F1">
              <w:rPr>
                <w:lang w:val="en-US"/>
              </w:rPr>
              <w:t>M17</w:t>
            </w:r>
          </w:p>
        </w:tc>
        <w:tc>
          <w:tcPr>
            <w:tcW w:w="0" w:type="auto"/>
            <w:hideMark/>
          </w:tcPr>
          <w:p w14:paraId="3339616D"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305/302</w:t>
            </w:r>
          </w:p>
        </w:tc>
        <w:tc>
          <w:tcPr>
            <w:tcW w:w="0" w:type="auto"/>
            <w:hideMark/>
          </w:tcPr>
          <w:p w14:paraId="3B5B5A01"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 71/81</w:t>
            </w:r>
          </w:p>
        </w:tc>
        <w:tc>
          <w:tcPr>
            <w:tcW w:w="0" w:type="auto"/>
            <w:hideMark/>
          </w:tcPr>
          <w:p w14:paraId="3A98B62D"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3870/3790</w:t>
            </w:r>
          </w:p>
        </w:tc>
        <w:tc>
          <w:tcPr>
            <w:tcW w:w="0" w:type="auto"/>
            <w:hideMark/>
          </w:tcPr>
          <w:p w14:paraId="0F919FB6"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1600/460</w:t>
            </w:r>
          </w:p>
        </w:tc>
        <w:tc>
          <w:tcPr>
            <w:tcW w:w="0" w:type="auto"/>
            <w:hideMark/>
          </w:tcPr>
          <w:p w14:paraId="60A8C7E8"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 xml:space="preserve"> 3.4/2.5</w:t>
            </w:r>
          </w:p>
        </w:tc>
        <w:tc>
          <w:tcPr>
            <w:tcW w:w="0" w:type="auto"/>
            <w:hideMark/>
          </w:tcPr>
          <w:p w14:paraId="4609F15D" w14:textId="77777777" w:rsidR="00A66090" w:rsidRPr="003E77F1" w:rsidRDefault="00A66090" w:rsidP="008C0D9F">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250/190 </w:t>
            </w:r>
          </w:p>
        </w:tc>
      </w:tr>
    </w:tbl>
    <w:p w14:paraId="5CF17AE6" w14:textId="77777777" w:rsidR="00AC169F" w:rsidRPr="00AC169F" w:rsidRDefault="00AC169F" w:rsidP="00AC169F">
      <w:pPr>
        <w:pStyle w:val="Heading2"/>
        <w:rPr>
          <w:lang w:val="en-US"/>
        </w:rPr>
      </w:pPr>
      <w:bookmarkStart w:id="3" w:name="_Toc64291794"/>
      <w:r w:rsidRPr="00AC169F">
        <w:rPr>
          <w:lang w:val="en-US"/>
        </w:rPr>
        <w:t>S1 Steps for conducting PMF, criteria for factor selection, and R code</w:t>
      </w:r>
      <w:bookmarkEnd w:id="3"/>
    </w:p>
    <w:p w14:paraId="3704A318" w14:textId="30AB5648" w:rsidR="00AC169F" w:rsidRDefault="00AC169F" w:rsidP="00AC169F">
      <w:pPr>
        <w:rPr>
          <w:lang w:val="en-US"/>
        </w:rPr>
      </w:pPr>
      <w:r w:rsidRPr="00AC169F">
        <w:rPr>
          <w:lang w:val="en-US"/>
        </w:rPr>
        <w:t>The first step to conducting PMF is the identification of strong, weak, and bad variables. Traditionally, average signal-to-noise ratio (SNR) is used as criteria for down-weighting species (</w:t>
      </w:r>
      <w:proofErr w:type="spellStart"/>
      <w:r w:rsidRPr="00AC169F">
        <w:rPr>
          <w:lang w:val="en-US"/>
        </w:rPr>
        <w:t>Paatero</w:t>
      </w:r>
      <w:proofErr w:type="spellEnd"/>
      <w:r w:rsidRPr="00AC169F">
        <w:rPr>
          <w:lang w:val="en-US"/>
        </w:rPr>
        <w:t xml:space="preserve"> and </w:t>
      </w:r>
      <w:proofErr w:type="spellStart"/>
      <w:r w:rsidRPr="00AC169F">
        <w:rPr>
          <w:lang w:val="en-US"/>
        </w:rPr>
        <w:t>Hopke</w:t>
      </w:r>
      <w:proofErr w:type="spellEnd"/>
      <w:r w:rsidRPr="00AC169F">
        <w:rPr>
          <w:lang w:val="en-US"/>
        </w:rPr>
        <w:t>, 2003). However, selections based only on SNR are subjective and do not account for the ability of the model to fit the data. For example, data with SNR 1 may fit better than the data with SNR of 2. Here, we utilized data trimming prior to running PMF to account for the down-weighting of noisy or weak variables. We hypothesize that application of PMF will extract fewer than 8–9 factors. This is not surprising: most AMS/ACSM studies report fewer than four factors (Jimenez et al., 2009). Even recent studies utilizing constraints report not more than 6 factors (Fröhlich et al., 2015</w:t>
      </w:r>
      <w:r w:rsidRPr="00AC169F">
        <w:rPr>
          <w:bCs/>
          <w:lang w:val="en-US"/>
        </w:rPr>
        <w:t xml:space="preserve">; </w:t>
      </w:r>
      <w:r w:rsidRPr="00AC169F">
        <w:rPr>
          <w:lang w:val="en-US"/>
        </w:rPr>
        <w:t xml:space="preserve">Canonaco et al., 2020). Thus, as pilot runs, we went to 9 factor solutions. In these pilot runs, a high </w:t>
      </w:r>
      <w:r w:rsidR="003C0805" w:rsidRPr="003C0805">
        <w:rPr>
          <w:i/>
          <w:lang w:val="en-US"/>
        </w:rPr>
        <w:t>Q/Qexp</w:t>
      </w:r>
      <w:r w:rsidRPr="00AC169F">
        <w:rPr>
          <w:lang w:val="en-US"/>
        </w:rPr>
        <w:t xml:space="preserve"> can arise from few data points in the dataset (</w:t>
      </w:r>
      <w:r w:rsidR="003C0805" w:rsidRPr="003C0805">
        <w:rPr>
          <w:i/>
          <w:iCs/>
          <w:lang w:val="en-US"/>
        </w:rPr>
        <w:t>Q/Qexp</w:t>
      </w:r>
      <w:r w:rsidRPr="00AC169F">
        <w:rPr>
          <w:lang w:val="en-US"/>
        </w:rPr>
        <w:t xml:space="preserve"> &gt;50 but going as high as O (1000)), biasing the overall </w:t>
      </w:r>
      <w:r w:rsidR="003C0805" w:rsidRPr="003C0805">
        <w:rPr>
          <w:i/>
          <w:lang w:val="en-US"/>
        </w:rPr>
        <w:t>Q/Qexp</w:t>
      </w:r>
      <w:r w:rsidRPr="00AC169F">
        <w:rPr>
          <w:lang w:val="en-US"/>
        </w:rPr>
        <w:t xml:space="preserve">. These time series points led to very high </w:t>
      </w:r>
      <w:r w:rsidR="003C0805" w:rsidRPr="003C0805">
        <w:rPr>
          <w:i/>
          <w:lang w:val="en-US"/>
        </w:rPr>
        <w:t>Q/Qexp</w:t>
      </w:r>
      <w:r w:rsidRPr="00AC169F">
        <w:rPr>
          <w:lang w:val="en-US"/>
        </w:rPr>
        <w:t xml:space="preserve"> for specific </w:t>
      </w:r>
      <w:r w:rsidR="003C0805" w:rsidRPr="003C0805">
        <w:rPr>
          <w:i/>
          <w:lang w:val="en-US"/>
        </w:rPr>
        <w:t>m/z</w:t>
      </w:r>
      <w:r w:rsidRPr="00AC169F">
        <w:rPr>
          <w:i/>
          <w:lang w:val="en-US"/>
        </w:rPr>
        <w:t>s</w:t>
      </w:r>
      <w:r w:rsidRPr="00AC169F">
        <w:rPr>
          <w:lang w:val="en-US"/>
        </w:rPr>
        <w:t xml:space="preserve"> as well. A representative figure from the PMF analysis of winter 2017 is shown in Fig. S2a–S Thus, we removed time points with </w:t>
      </w:r>
      <w:r w:rsidR="003C0805" w:rsidRPr="003C0805">
        <w:rPr>
          <w:i/>
          <w:lang w:val="en-US"/>
        </w:rPr>
        <w:t>Q/Qexp</w:t>
      </w:r>
      <w:r w:rsidRPr="00AC169F">
        <w:rPr>
          <w:lang w:val="en-US"/>
        </w:rPr>
        <w:t>&gt;20.</w:t>
      </w:r>
    </w:p>
    <w:p w14:paraId="5F85FEA2" w14:textId="2BFC4BAA" w:rsidR="00BB17EB" w:rsidRDefault="00BB17EB" w:rsidP="00BB17EB">
      <w:pPr>
        <w:ind w:firstLine="720"/>
        <w:rPr>
          <w:lang w:val="en-US"/>
        </w:rPr>
      </w:pPr>
      <w:r w:rsidRPr="00AC169F">
        <w:rPr>
          <w:lang w:val="en-US"/>
        </w:rPr>
        <w:t xml:space="preserve">Our results suggested that removing these time series points prior to reweighting </w:t>
      </w:r>
      <w:r w:rsidR="003C0805" w:rsidRPr="003C0805">
        <w:rPr>
          <w:i/>
          <w:lang w:val="en-US"/>
        </w:rPr>
        <w:t>m/z</w:t>
      </w:r>
      <w:r w:rsidRPr="00AC169F">
        <w:rPr>
          <w:i/>
          <w:lang w:val="en-US"/>
        </w:rPr>
        <w:t>s</w:t>
      </w:r>
      <w:r w:rsidRPr="00AC169F">
        <w:rPr>
          <w:lang w:val="en-US"/>
        </w:rPr>
        <w:t xml:space="preserve"> led to a dramatic reduction in the </w:t>
      </w:r>
      <w:r w:rsidR="003C0805" w:rsidRPr="003C0805">
        <w:rPr>
          <w:i/>
          <w:lang w:val="en-US"/>
        </w:rPr>
        <w:t>Q/Qexp</w:t>
      </w:r>
      <w:r w:rsidRPr="00AC169F">
        <w:rPr>
          <w:lang w:val="en-US"/>
        </w:rPr>
        <w:t xml:space="preserve"> corresponding to the </w:t>
      </w:r>
      <w:r w:rsidR="003C0805" w:rsidRPr="003C0805">
        <w:rPr>
          <w:i/>
          <w:lang w:val="en-US"/>
        </w:rPr>
        <w:t>m/z</w:t>
      </w:r>
      <w:r w:rsidRPr="00AC169F">
        <w:rPr>
          <w:i/>
          <w:lang w:val="en-US"/>
        </w:rPr>
        <w:t>s</w:t>
      </w:r>
      <w:r w:rsidRPr="00AC169F">
        <w:rPr>
          <w:lang w:val="en-US"/>
        </w:rPr>
        <w:t xml:space="preserve"> and therefore the number of </w:t>
      </w:r>
      <w:r w:rsidR="003C0805" w:rsidRPr="003C0805">
        <w:rPr>
          <w:i/>
          <w:lang w:val="en-US"/>
        </w:rPr>
        <w:t>m/z</w:t>
      </w:r>
      <w:r w:rsidRPr="00AC169F">
        <w:rPr>
          <w:i/>
          <w:lang w:val="en-US"/>
        </w:rPr>
        <w:t>s</w:t>
      </w:r>
      <w:r w:rsidRPr="00AC169F">
        <w:rPr>
          <w:lang w:val="en-US"/>
        </w:rPr>
        <w:t xml:space="preserve"> that need to be down-weighted. Representative results for a single pass of data trimming at this decision step are shown in Fig. S3a–S In total, less than 15% of the data was removed before conducting PMF analysis for factor identification. Such data trimming is also considered standard procedure in PMF analysis on data collected and analyzed at federal and state monitoring agencies (Dave Sullivan, </w:t>
      </w:r>
      <w:r w:rsidRPr="00AC169F">
        <w:rPr>
          <w:i/>
          <w:iCs/>
          <w:lang w:val="en-US"/>
        </w:rPr>
        <w:t>personal communication</w:t>
      </w:r>
      <w:r w:rsidRPr="00AC169F">
        <w:rPr>
          <w:lang w:val="en-US"/>
        </w:rPr>
        <w:t>). Interestingly, the removed time series points were not necessarily associated with high concentrations. Histogram analysis suggests that while time series points with organic concentrations greater than 180 µg m</w:t>
      </w:r>
      <w:r w:rsidRPr="00AC169F">
        <w:rPr>
          <w:vertAlign w:val="superscript"/>
          <w:lang w:val="en-US"/>
        </w:rPr>
        <w:t>−3</w:t>
      </w:r>
      <w:r w:rsidRPr="00AC169F">
        <w:rPr>
          <w:lang w:val="en-US"/>
        </w:rPr>
        <w:t xml:space="preserve"> account for </w:t>
      </w:r>
      <w:r w:rsidRPr="00AC169F">
        <w:rPr>
          <w:rFonts w:ascii="Cambria Math" w:hAnsi="Cambria Math" w:cs="Cambria Math"/>
          <w:lang w:val="en-US"/>
        </w:rPr>
        <w:t>∼</w:t>
      </w:r>
      <w:r w:rsidRPr="00AC169F">
        <w:rPr>
          <w:lang w:val="en-US"/>
        </w:rPr>
        <w:t xml:space="preserve">10% of the raw data, they account for </w:t>
      </w:r>
      <w:r w:rsidRPr="00AC169F">
        <w:rPr>
          <w:rFonts w:ascii="Cambria Math" w:hAnsi="Cambria Math" w:cs="Cambria Math"/>
          <w:lang w:val="en-US"/>
        </w:rPr>
        <w:t>∼</w:t>
      </w:r>
      <w:r w:rsidRPr="00AC169F">
        <w:rPr>
          <w:lang w:val="en-US"/>
        </w:rPr>
        <w:t>1% of the removed points. Thus, the time series points at which PMF fails to fit appropriately are not necessarily associated with high concentrations.</w:t>
      </w:r>
      <w:r>
        <w:rPr>
          <w:lang w:val="en-US"/>
        </w:rPr>
        <w:t xml:space="preserve"> </w:t>
      </w:r>
      <w:r w:rsidRPr="00AC169F">
        <w:rPr>
          <w:lang w:val="en-US"/>
        </w:rPr>
        <w:t xml:space="preserve">After removing data points that could not be fit by the PMF analysis even at 8–9 factor solutions, we utilized two criteria to identify “strong” and “weak” </w:t>
      </w:r>
      <w:r w:rsidR="003C0805" w:rsidRPr="003C0805">
        <w:rPr>
          <w:i/>
          <w:lang w:val="en-US"/>
        </w:rPr>
        <w:t>m/z</w:t>
      </w:r>
      <w:r w:rsidRPr="00AC169F">
        <w:rPr>
          <w:i/>
          <w:lang w:val="en-US"/>
        </w:rPr>
        <w:t>s</w:t>
      </w:r>
      <w:r w:rsidRPr="00AC169F">
        <w:rPr>
          <w:lang w:val="en-US"/>
        </w:rPr>
        <w:t xml:space="preserve">. The criteria used in the order of decreasing importance were </w:t>
      </w:r>
      <w:r w:rsidR="003C0805" w:rsidRPr="003C0805">
        <w:rPr>
          <w:i/>
          <w:lang w:val="en-US"/>
        </w:rPr>
        <w:t>Q/Qexp</w:t>
      </w:r>
      <w:r w:rsidRPr="00AC169F">
        <w:rPr>
          <w:lang w:val="en-US"/>
        </w:rPr>
        <w:t xml:space="preserve"> at an </w:t>
      </w:r>
      <w:r w:rsidR="003C0805" w:rsidRPr="003C0805">
        <w:rPr>
          <w:i/>
          <w:lang w:val="en-US"/>
        </w:rPr>
        <w:t>m/z</w:t>
      </w:r>
      <w:r w:rsidRPr="00AC169F">
        <w:rPr>
          <w:lang w:val="en-US"/>
        </w:rPr>
        <w:t xml:space="preserve"> (&lt;10 for strong </w:t>
      </w:r>
      <w:r w:rsidR="003C0805" w:rsidRPr="003C0805">
        <w:rPr>
          <w:i/>
          <w:lang w:val="en-US"/>
        </w:rPr>
        <w:t>m/z</w:t>
      </w:r>
      <w:r w:rsidRPr="00AC169F">
        <w:rPr>
          <w:lang w:val="en-US"/>
        </w:rPr>
        <w:t xml:space="preserve">) and, the slope and the correlation of modeled versus measured mass for contributions at an </w:t>
      </w:r>
      <w:r w:rsidR="003C0805" w:rsidRPr="003C0805">
        <w:rPr>
          <w:i/>
          <w:lang w:val="en-US"/>
        </w:rPr>
        <w:t>m/z</w:t>
      </w:r>
      <w:r w:rsidRPr="00AC169F">
        <w:rPr>
          <w:lang w:val="en-US"/>
        </w:rPr>
        <w:t xml:space="preserve"> (slope, R &gt; 0.7). SNR of 1 was used as a check. The use of SNR of 1 is in line with the traditional definition since EPA PMF defines signal as data above noise (Norris et al., 2014). Only one </w:t>
      </w:r>
      <w:r w:rsidR="003C0805" w:rsidRPr="003C0805">
        <w:rPr>
          <w:i/>
          <w:lang w:val="en-US"/>
        </w:rPr>
        <w:t>m/z</w:t>
      </w:r>
      <w:r w:rsidRPr="00AC169F">
        <w:rPr>
          <w:lang w:val="en-US"/>
        </w:rPr>
        <w:t xml:space="preserve">, </w:t>
      </w:r>
      <w:r w:rsidR="003C0805" w:rsidRPr="003C0805">
        <w:rPr>
          <w:i/>
          <w:lang w:val="en-US"/>
        </w:rPr>
        <w:t>m/z</w:t>
      </w:r>
      <w:r w:rsidRPr="00AC169F">
        <w:rPr>
          <w:lang w:val="en-US"/>
        </w:rPr>
        <w:t xml:space="preserve"> 12, was selected as a “bad” variable due to negative signals; this has been observed elsewhere as well (Fröhlich et al., 2015; </w:t>
      </w:r>
      <w:proofErr w:type="spellStart"/>
      <w:r w:rsidRPr="00AC169F">
        <w:rPr>
          <w:lang w:val="en-US"/>
        </w:rPr>
        <w:t>Schlag</w:t>
      </w:r>
      <w:proofErr w:type="spellEnd"/>
      <w:r w:rsidRPr="00AC169F">
        <w:rPr>
          <w:lang w:val="en-US"/>
        </w:rPr>
        <w:t xml:space="preserve"> et al., 2016). A full list of weak </w:t>
      </w:r>
      <w:r w:rsidR="003C0805" w:rsidRPr="003C0805">
        <w:rPr>
          <w:i/>
          <w:lang w:val="en-US"/>
        </w:rPr>
        <w:t>m/z</w:t>
      </w:r>
      <w:r w:rsidRPr="00AC169F">
        <w:rPr>
          <w:i/>
          <w:lang w:val="en-US"/>
        </w:rPr>
        <w:t>s</w:t>
      </w:r>
      <w:r w:rsidRPr="00AC169F">
        <w:rPr>
          <w:lang w:val="en-US"/>
        </w:rPr>
        <w:t xml:space="preserve"> in each PMF run are shown in Table S3.</w:t>
      </w:r>
    </w:p>
    <w:p w14:paraId="4AE0FFA1" w14:textId="1CD74DF5" w:rsidR="00BB17EB" w:rsidRDefault="00BB17EB" w:rsidP="00AC169F">
      <w:pPr>
        <w:rPr>
          <w:lang w:val="en-US"/>
        </w:rPr>
      </w:pPr>
    </w:p>
    <w:p w14:paraId="0AD66F19" w14:textId="04019481" w:rsidR="00BB17EB" w:rsidRDefault="00BB17EB" w:rsidP="00AC169F">
      <w:pPr>
        <w:rPr>
          <w:lang w:val="en-US"/>
        </w:rPr>
      </w:pPr>
    </w:p>
    <w:p w14:paraId="1D5BC09D" w14:textId="2E3B25A1" w:rsidR="00AC169F" w:rsidRDefault="00AC169F" w:rsidP="00AC169F">
      <w:pPr>
        <w:jc w:val="center"/>
        <w:rPr>
          <w:b/>
          <w:lang w:val="en-US"/>
        </w:rPr>
      </w:pPr>
      <w:r w:rsidRPr="00AC169F">
        <w:rPr>
          <w:b/>
          <w:noProof/>
          <w:lang w:val="en-US"/>
        </w:rPr>
        <w:drawing>
          <wp:inline distT="0" distB="0" distL="0" distR="0" wp14:anchorId="416E7994" wp14:editId="7F1C03DA">
            <wp:extent cx="5308600" cy="2070100"/>
            <wp:effectExtent l="19050" t="19050" r="25400" b="25400"/>
            <wp:docPr id="10" name="Picture 1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08600" cy="2070100"/>
                    </a:xfrm>
                    <a:prstGeom prst="rect">
                      <a:avLst/>
                    </a:prstGeom>
                    <a:noFill/>
                    <a:ln w="9525" cmpd="sng">
                      <a:solidFill>
                        <a:srgbClr val="000000"/>
                      </a:solidFill>
                      <a:miter lim="800000"/>
                      <a:headEnd/>
                      <a:tailEnd/>
                    </a:ln>
                    <a:effectLst/>
                  </pic:spPr>
                </pic:pic>
              </a:graphicData>
            </a:graphic>
          </wp:inline>
        </w:drawing>
      </w:r>
    </w:p>
    <w:p w14:paraId="63F913C3" w14:textId="127079D1" w:rsidR="00AC169F" w:rsidRDefault="00AC169F" w:rsidP="00AC169F">
      <w:pPr>
        <w:jc w:val="center"/>
        <w:rPr>
          <w:b/>
          <w:lang w:val="en-US"/>
        </w:rPr>
      </w:pPr>
      <w:r w:rsidRPr="00AC169F">
        <w:rPr>
          <w:b/>
          <w:noProof/>
          <w:lang w:val="en-US"/>
        </w:rPr>
        <w:drawing>
          <wp:inline distT="0" distB="0" distL="0" distR="0" wp14:anchorId="463AE860" wp14:editId="6ED0AA1B">
            <wp:extent cx="5327650" cy="2114550"/>
            <wp:effectExtent l="19050" t="19050" r="25400" b="19050"/>
            <wp:docPr id="9" name="Picture 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descr="A picture containing char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7650" cy="2114550"/>
                    </a:xfrm>
                    <a:prstGeom prst="rect">
                      <a:avLst/>
                    </a:prstGeom>
                    <a:noFill/>
                    <a:ln w="9525" cmpd="sng">
                      <a:solidFill>
                        <a:srgbClr val="000000"/>
                      </a:solidFill>
                      <a:miter lim="800000"/>
                      <a:headEnd/>
                      <a:tailEnd/>
                    </a:ln>
                    <a:effectLst/>
                  </pic:spPr>
                </pic:pic>
              </a:graphicData>
            </a:graphic>
          </wp:inline>
        </w:drawing>
      </w:r>
    </w:p>
    <w:p w14:paraId="7FFE11DA" w14:textId="6839DBE0" w:rsidR="00BB17EB" w:rsidRPr="00AC169F" w:rsidRDefault="00BB17EB" w:rsidP="00BB17EB">
      <w:pPr>
        <w:pStyle w:val="Caption"/>
        <w:rPr>
          <w:lang w:val="en-US"/>
        </w:rPr>
      </w:pPr>
      <w:r w:rsidRPr="00AC169F">
        <w:rPr>
          <w:lang w:val="en-US"/>
        </w:rPr>
        <w:t xml:space="preserve">Figure S2 </w:t>
      </w:r>
      <w:r w:rsidR="003C0805" w:rsidRPr="003C0805">
        <w:rPr>
          <w:i/>
          <w:lang w:val="en-US"/>
        </w:rPr>
        <w:t>Q/Qexp</w:t>
      </w:r>
      <w:r w:rsidRPr="00AC169F">
        <w:rPr>
          <w:lang w:val="en-US"/>
        </w:rPr>
        <w:t xml:space="preserve"> at </w:t>
      </w:r>
      <w:r>
        <w:rPr>
          <w:lang w:val="en-US"/>
        </w:rPr>
        <w:t xml:space="preserve">(a) </w:t>
      </w:r>
      <w:r w:rsidRPr="00AC169F">
        <w:rPr>
          <w:lang w:val="en-US"/>
        </w:rPr>
        <w:t xml:space="preserve">relevant time series points and </w:t>
      </w:r>
      <w:r>
        <w:rPr>
          <w:lang w:val="en-US"/>
        </w:rPr>
        <w:t xml:space="preserve">(b) </w:t>
      </w:r>
      <w:r w:rsidR="003C0805" w:rsidRPr="003C0805">
        <w:rPr>
          <w:i/>
          <w:lang w:val="en-US"/>
        </w:rPr>
        <w:t>m/z</w:t>
      </w:r>
      <w:r w:rsidRPr="00AC169F">
        <w:rPr>
          <w:lang w:val="en-US"/>
        </w:rPr>
        <w:t>s for raw organic data</w:t>
      </w:r>
    </w:p>
    <w:p w14:paraId="02B35491" w14:textId="52908364" w:rsidR="003E77F1" w:rsidRDefault="003E77F1" w:rsidP="003E77F1">
      <w:pPr>
        <w:rPr>
          <w:lang w:val="en-US"/>
        </w:rPr>
      </w:pPr>
      <w:r w:rsidRPr="003E77F1">
        <w:rPr>
          <w:lang w:val="en-US"/>
        </w:rPr>
        <w:t xml:space="preserve">As shown in Table S3, we identified important </w:t>
      </w:r>
      <w:r w:rsidR="003C0805" w:rsidRPr="003C0805">
        <w:rPr>
          <w:i/>
          <w:lang w:val="en-US"/>
        </w:rPr>
        <w:t>m/z</w:t>
      </w:r>
      <w:r w:rsidRPr="003E77F1">
        <w:rPr>
          <w:i/>
          <w:lang w:val="en-US"/>
        </w:rPr>
        <w:t>s</w:t>
      </w:r>
      <w:r w:rsidRPr="003E77F1">
        <w:rPr>
          <w:lang w:val="en-US"/>
        </w:rPr>
        <w:t xml:space="preserve"> as either strong or weak in both the time-resolved and the seasonal PMF runs; thus, modeling error can be quantified by taking the difference of </w:t>
      </w:r>
      <w:r w:rsidR="003C0805" w:rsidRPr="003C0805">
        <w:rPr>
          <w:i/>
          <w:lang w:val="en-US"/>
        </w:rPr>
        <w:t>Q/Qexp</w:t>
      </w:r>
      <w:r w:rsidRPr="003E77F1">
        <w:rPr>
          <w:lang w:val="en-US"/>
        </w:rPr>
        <w:t xml:space="preserve"> between two models (</w:t>
      </w:r>
      <w:proofErr w:type="spellStart"/>
      <w:r w:rsidRPr="003E77F1">
        <w:rPr>
          <w:lang w:val="en-US"/>
        </w:rPr>
        <w:t>Paatero</w:t>
      </w:r>
      <w:proofErr w:type="spellEnd"/>
      <w:r w:rsidRPr="003E77F1">
        <w:rPr>
          <w:lang w:val="en-US"/>
        </w:rPr>
        <w:t xml:space="preserve"> and </w:t>
      </w:r>
      <w:proofErr w:type="spellStart"/>
      <w:r w:rsidRPr="003E77F1">
        <w:rPr>
          <w:lang w:val="en-US"/>
        </w:rPr>
        <w:t>Hopke</w:t>
      </w:r>
      <w:proofErr w:type="spellEnd"/>
      <w:r w:rsidRPr="003E77F1">
        <w:rPr>
          <w:lang w:val="en-US"/>
        </w:rPr>
        <w:t xml:space="preserve">, 2009). We used the default fragmentation table, and as a result, higher weight was given to mass spectral contribution at </w:t>
      </w:r>
      <w:r w:rsidRPr="003E77F1">
        <w:rPr>
          <w:i/>
          <w:iCs/>
          <w:lang w:val="en-US"/>
        </w:rPr>
        <w:t>m</w:t>
      </w:r>
      <w:r w:rsidRPr="003E77F1">
        <w:rPr>
          <w:lang w:val="en-US"/>
        </w:rPr>
        <w:t>∕</w:t>
      </w:r>
      <w:r w:rsidRPr="003E77F1">
        <w:rPr>
          <w:i/>
          <w:iCs/>
          <w:lang w:val="en-US"/>
        </w:rPr>
        <w:t>z</w:t>
      </w:r>
      <w:r w:rsidRPr="003E77F1">
        <w:rPr>
          <w:lang w:val="en-US"/>
        </w:rPr>
        <w:t xml:space="preserve"> 44, with which data at </w:t>
      </w:r>
      <w:r w:rsidRPr="003E77F1">
        <w:rPr>
          <w:i/>
          <w:iCs/>
          <w:lang w:val="en-US"/>
        </w:rPr>
        <w:t>m</w:t>
      </w:r>
      <w:r w:rsidRPr="003E77F1">
        <w:rPr>
          <w:lang w:val="en-US"/>
        </w:rPr>
        <w:t>∕</w:t>
      </w:r>
      <w:r w:rsidRPr="003E77F1">
        <w:rPr>
          <w:i/>
          <w:iCs/>
          <w:lang w:val="en-US"/>
        </w:rPr>
        <w:t>z</w:t>
      </w:r>
      <w:r w:rsidRPr="003E77F1">
        <w:rPr>
          <w:lang w:val="en-US"/>
        </w:rPr>
        <w:t xml:space="preserve"> values 16–18 is proportionally related. Accordingly, we down-weighted contributions at these </w:t>
      </w:r>
      <w:r w:rsidRPr="003E77F1">
        <w:rPr>
          <w:i/>
          <w:iCs/>
          <w:lang w:val="en-US"/>
        </w:rPr>
        <w:t>m</w:t>
      </w:r>
      <w:r w:rsidRPr="003E77F1">
        <w:rPr>
          <w:lang w:val="en-US"/>
        </w:rPr>
        <w:t>∕</w:t>
      </w:r>
      <w:r w:rsidRPr="003E77F1">
        <w:rPr>
          <w:i/>
          <w:iCs/>
          <w:lang w:val="en-US"/>
        </w:rPr>
        <w:t>z</w:t>
      </w:r>
      <w:r w:rsidRPr="003E77F1">
        <w:rPr>
          <w:lang w:val="en-US"/>
        </w:rPr>
        <w:t xml:space="preserve"> values and marked them as “weak”. To be consistent, identical trimmed parent organic data and error matrices were used between time-of-day PMF and seasonal PMF analyses.</w:t>
      </w:r>
      <w:r>
        <w:rPr>
          <w:lang w:val="en-US"/>
        </w:rPr>
        <w:t xml:space="preserve"> </w:t>
      </w:r>
      <w:r w:rsidRPr="003E77F1">
        <w:rPr>
          <w:lang w:val="en-US"/>
        </w:rPr>
        <w:t xml:space="preserve">We conducted PMF runs for one to seven factors, explored the solution space using the tools FPEAK, seeds, and constraints, and conducted error analysis on the dataset. The IGOR PET tool, based on PMF2, provides extensive information on different aspects of the residual structure in the tool itself (Ulbrich et al., 2009). However, the EPA PMF tool only generates .csv files that need to be individually analyzed for further analysis (Norris et al., 2014). An R package was developed to automate the process of data visualization and processing for subjective decision making by the PMF user (R Core Team, 2019). The package was based on libraries </w:t>
      </w:r>
      <w:proofErr w:type="spellStart"/>
      <w:r w:rsidRPr="003E77F1">
        <w:rPr>
          <w:lang w:val="en-US"/>
        </w:rPr>
        <w:t>tidyverse</w:t>
      </w:r>
      <w:proofErr w:type="spellEnd"/>
      <w:r w:rsidRPr="003E77F1">
        <w:rPr>
          <w:lang w:val="en-US"/>
        </w:rPr>
        <w:t xml:space="preserve"> (Wickham et al., 2019), </w:t>
      </w:r>
      <w:proofErr w:type="spellStart"/>
      <w:r w:rsidRPr="003E77F1">
        <w:rPr>
          <w:lang w:val="en-US"/>
        </w:rPr>
        <w:t>openair</w:t>
      </w:r>
      <w:proofErr w:type="spellEnd"/>
      <w:r w:rsidRPr="003E77F1">
        <w:rPr>
          <w:lang w:val="en-US"/>
        </w:rPr>
        <w:t xml:space="preserve"> (</w:t>
      </w:r>
      <w:proofErr w:type="spellStart"/>
      <w:r w:rsidRPr="003E77F1">
        <w:rPr>
          <w:lang w:val="en-US"/>
        </w:rPr>
        <w:t>Carslaw</w:t>
      </w:r>
      <w:proofErr w:type="spellEnd"/>
      <w:r w:rsidRPr="003E77F1">
        <w:rPr>
          <w:lang w:val="en-US"/>
        </w:rPr>
        <w:t xml:space="preserve"> et al., 2012), </w:t>
      </w:r>
      <w:proofErr w:type="spellStart"/>
      <w:r w:rsidRPr="003E77F1">
        <w:rPr>
          <w:lang w:val="en-US"/>
        </w:rPr>
        <w:t>lubridate</w:t>
      </w:r>
      <w:proofErr w:type="spellEnd"/>
      <w:r w:rsidRPr="003E77F1">
        <w:rPr>
          <w:lang w:val="en-US"/>
        </w:rPr>
        <w:t xml:space="preserve"> (</w:t>
      </w:r>
      <w:proofErr w:type="spellStart"/>
      <w:r w:rsidRPr="003E77F1">
        <w:rPr>
          <w:lang w:val="en-US"/>
        </w:rPr>
        <w:t>Grolemund</w:t>
      </w:r>
      <w:proofErr w:type="spellEnd"/>
      <w:r w:rsidRPr="003E77F1">
        <w:rPr>
          <w:lang w:val="en-US"/>
        </w:rPr>
        <w:t xml:space="preserve"> and Wickham, 2011), and MASS (Venables and Ripley, 2002).</w:t>
      </w:r>
    </w:p>
    <w:p w14:paraId="2B6F5F06" w14:textId="54E779C5" w:rsidR="003E77F1" w:rsidRPr="003E77F1" w:rsidRDefault="003E77F1" w:rsidP="003E77F1">
      <w:pPr>
        <w:jc w:val="center"/>
        <w:rPr>
          <w:i/>
          <w:iCs/>
          <w:lang w:val="en-US"/>
        </w:rPr>
      </w:pPr>
      <w:r w:rsidRPr="003E77F1">
        <w:rPr>
          <w:i/>
          <w:noProof/>
          <w:lang w:val="en-US"/>
        </w:rPr>
        <w:drawing>
          <wp:inline distT="0" distB="0" distL="0" distR="0" wp14:anchorId="440AE72D" wp14:editId="3EF4EAFB">
            <wp:extent cx="5327650" cy="2139950"/>
            <wp:effectExtent l="19050" t="19050" r="2540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7650" cy="2139950"/>
                    </a:xfrm>
                    <a:prstGeom prst="rect">
                      <a:avLst/>
                    </a:prstGeom>
                    <a:noFill/>
                    <a:ln w="9525" cmpd="sng">
                      <a:solidFill>
                        <a:srgbClr val="000000"/>
                      </a:solidFill>
                      <a:miter lim="800000"/>
                      <a:headEnd/>
                      <a:tailEnd/>
                    </a:ln>
                    <a:effectLst/>
                  </pic:spPr>
                </pic:pic>
              </a:graphicData>
            </a:graphic>
          </wp:inline>
        </w:drawing>
      </w:r>
    </w:p>
    <w:p w14:paraId="6A9D45B7" w14:textId="7826A94B" w:rsidR="003E77F1" w:rsidRPr="003E77F1" w:rsidRDefault="003E77F1" w:rsidP="003E77F1">
      <w:pPr>
        <w:jc w:val="center"/>
        <w:rPr>
          <w:lang w:val="en-US"/>
        </w:rPr>
      </w:pPr>
      <w:r w:rsidRPr="003E77F1">
        <w:rPr>
          <w:noProof/>
          <w:lang w:val="en-US"/>
        </w:rPr>
        <w:drawing>
          <wp:inline distT="0" distB="0" distL="0" distR="0" wp14:anchorId="71538056" wp14:editId="0EF21545">
            <wp:extent cx="5327650" cy="2076450"/>
            <wp:effectExtent l="19050" t="19050" r="25400" b="19050"/>
            <wp:docPr id="11" name="Picture 1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 picture containing graphical user interfac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7650" cy="2076450"/>
                    </a:xfrm>
                    <a:prstGeom prst="rect">
                      <a:avLst/>
                    </a:prstGeom>
                    <a:noFill/>
                    <a:ln w="9525" cmpd="sng">
                      <a:solidFill>
                        <a:srgbClr val="000000"/>
                      </a:solidFill>
                      <a:miter lim="800000"/>
                      <a:headEnd/>
                      <a:tailEnd/>
                    </a:ln>
                    <a:effectLst/>
                  </pic:spPr>
                </pic:pic>
              </a:graphicData>
            </a:graphic>
          </wp:inline>
        </w:drawing>
      </w:r>
    </w:p>
    <w:p w14:paraId="4CD13FCD" w14:textId="5647661F" w:rsidR="003E77F1" w:rsidRPr="003E77F1" w:rsidRDefault="003E77F1" w:rsidP="003E77F1">
      <w:pPr>
        <w:pStyle w:val="Caption"/>
        <w:rPr>
          <w:lang w:val="en-US"/>
        </w:rPr>
      </w:pPr>
      <w:bookmarkStart w:id="4" w:name="_Toc64291916"/>
      <w:r w:rsidRPr="003E77F1">
        <w:rPr>
          <w:lang w:val="en-US"/>
        </w:rPr>
        <w:t xml:space="preserve">Figure S3 </w:t>
      </w:r>
      <w:r w:rsidR="003C0805" w:rsidRPr="003C0805">
        <w:rPr>
          <w:i/>
          <w:iCs/>
          <w:lang w:val="en-US"/>
        </w:rPr>
        <w:t>Q/Qexp</w:t>
      </w:r>
      <w:r w:rsidRPr="003E77F1">
        <w:rPr>
          <w:lang w:val="en-US"/>
        </w:rPr>
        <w:t xml:space="preserve"> at relevant time series points and </w:t>
      </w:r>
      <w:r w:rsidR="003C0805" w:rsidRPr="003C0805">
        <w:rPr>
          <w:i/>
          <w:lang w:val="en-US"/>
        </w:rPr>
        <w:t>m/z</w:t>
      </w:r>
      <w:r w:rsidRPr="003E77F1">
        <w:rPr>
          <w:lang w:val="en-US"/>
        </w:rPr>
        <w:t>s for trimmed organic data</w:t>
      </w:r>
      <w:bookmarkEnd w:id="4"/>
    </w:p>
    <w:p w14:paraId="057861C7" w14:textId="3BDFF8BC" w:rsidR="003E77F1" w:rsidRPr="003E77F1" w:rsidRDefault="003E77F1" w:rsidP="003E77F1">
      <w:pPr>
        <w:pStyle w:val="Caption"/>
        <w:rPr>
          <w:lang w:val="en-US"/>
        </w:rPr>
      </w:pPr>
      <w:bookmarkStart w:id="5" w:name="_Toc64291820"/>
      <w:bookmarkStart w:id="6" w:name="_Hlk60580110"/>
      <w:r w:rsidRPr="003E77F1">
        <w:rPr>
          <w:lang w:val="en-US"/>
        </w:rPr>
        <w:t xml:space="preserve">Table S3 List of weak </w:t>
      </w:r>
      <w:r w:rsidR="003C0805" w:rsidRPr="003C0805">
        <w:rPr>
          <w:i/>
          <w:lang w:val="en-US"/>
        </w:rPr>
        <w:t>m/z</w:t>
      </w:r>
      <w:r w:rsidRPr="003E77F1">
        <w:rPr>
          <w:lang w:val="en-US"/>
        </w:rPr>
        <w:t>s in PMF runs</w:t>
      </w:r>
      <w:bookmarkEnd w:id="5"/>
    </w:p>
    <w:tbl>
      <w:tblPr>
        <w:tblStyle w:val="Copernicus"/>
        <w:tblW w:w="0" w:type="auto"/>
        <w:tblLook w:val="04A0" w:firstRow="1" w:lastRow="0" w:firstColumn="1" w:lastColumn="0" w:noHBand="0" w:noVBand="1"/>
      </w:tblPr>
      <w:tblGrid>
        <w:gridCol w:w="966"/>
        <w:gridCol w:w="8956"/>
      </w:tblGrid>
      <w:tr w:rsidR="003E77F1" w:rsidRPr="003E77F1" w14:paraId="10AD0557" w14:textId="77777777" w:rsidTr="003E77F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64BD2BA" w14:textId="77777777" w:rsidR="003E77F1" w:rsidRPr="003E77F1" w:rsidRDefault="003E77F1" w:rsidP="007E12C3">
            <w:pPr>
              <w:rPr>
                <w:lang w:val="en-US"/>
              </w:rPr>
            </w:pPr>
            <w:r w:rsidRPr="003E77F1">
              <w:rPr>
                <w:lang w:val="en-US"/>
              </w:rPr>
              <w:t>Period</w:t>
            </w:r>
          </w:p>
        </w:tc>
        <w:tc>
          <w:tcPr>
            <w:tcW w:w="0" w:type="auto"/>
            <w:hideMark/>
          </w:tcPr>
          <w:p w14:paraId="55E015B1" w14:textId="750873CC" w:rsidR="003E77F1" w:rsidRPr="003E77F1" w:rsidRDefault="003C0805" w:rsidP="007E12C3">
            <w:pPr>
              <w:cnfStyle w:val="100000000000" w:firstRow="1" w:lastRow="0" w:firstColumn="0" w:lastColumn="0" w:oddVBand="0" w:evenVBand="0" w:oddHBand="0" w:evenHBand="0" w:firstRowFirstColumn="0" w:firstRowLastColumn="0" w:lastRowFirstColumn="0" w:lastRowLastColumn="0"/>
              <w:rPr>
                <w:i/>
                <w:iCs/>
                <w:lang w:val="en-US"/>
              </w:rPr>
            </w:pPr>
            <w:r w:rsidRPr="003C0805">
              <w:rPr>
                <w:i/>
                <w:iCs/>
                <w:lang w:val="en-US"/>
              </w:rPr>
              <w:t>m/z</w:t>
            </w:r>
            <w:r w:rsidR="003E77F1" w:rsidRPr="003E77F1">
              <w:rPr>
                <w:i/>
                <w:iCs/>
                <w:lang w:val="en-US"/>
              </w:rPr>
              <w:t>s</w:t>
            </w:r>
          </w:p>
        </w:tc>
      </w:tr>
      <w:tr w:rsidR="003E77F1" w:rsidRPr="003E77F1" w14:paraId="2BCFECA9"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8B28C82" w14:textId="77777777" w:rsidR="003E77F1" w:rsidRPr="003E77F1" w:rsidRDefault="003E77F1" w:rsidP="007E12C3">
            <w:pPr>
              <w:rPr>
                <w:lang w:val="en-US"/>
              </w:rPr>
            </w:pPr>
            <w:r w:rsidRPr="003E77F1">
              <w:rPr>
                <w:lang w:val="en-US"/>
              </w:rPr>
              <w:t>W171115</w:t>
            </w:r>
          </w:p>
        </w:tc>
        <w:tc>
          <w:tcPr>
            <w:tcW w:w="0" w:type="auto"/>
            <w:hideMark/>
          </w:tcPr>
          <w:p w14:paraId="54C53004" w14:textId="77777777" w:rsidR="003E77F1" w:rsidRPr="003E77F1" w:rsidRDefault="003E77F1" w:rsidP="007E12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 xml:space="preserve">13, 16–18, 24–25, 37–38, 44, 48–49, 62, 66, 75, 76, 80, 88–90, 92, 94, 100–104, 106, 108, 110, 112–114, 116–120 </w:t>
            </w:r>
          </w:p>
        </w:tc>
      </w:tr>
      <w:tr w:rsidR="003E77F1" w:rsidRPr="003E77F1" w14:paraId="11E36D6A"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2B6D5C0" w14:textId="77777777" w:rsidR="003E77F1" w:rsidRPr="003E77F1" w:rsidRDefault="003E77F1" w:rsidP="007E12C3">
            <w:pPr>
              <w:rPr>
                <w:lang w:val="en-US"/>
              </w:rPr>
            </w:pPr>
            <w:r w:rsidRPr="003E77F1">
              <w:rPr>
                <w:lang w:val="en-US"/>
              </w:rPr>
              <w:t>W172303</w:t>
            </w:r>
          </w:p>
        </w:tc>
        <w:tc>
          <w:tcPr>
            <w:tcW w:w="0" w:type="auto"/>
            <w:hideMark/>
          </w:tcPr>
          <w:p w14:paraId="1B331619" w14:textId="77777777" w:rsidR="003E77F1" w:rsidRPr="003E77F1" w:rsidRDefault="003E77F1" w:rsidP="007E12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13, 15–18, 24, 37–38, 44</w:t>
            </w:r>
          </w:p>
        </w:tc>
      </w:tr>
      <w:tr w:rsidR="003E77F1" w:rsidRPr="003E77F1" w14:paraId="4EE5FDE0"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CE9350D" w14:textId="77777777" w:rsidR="003E77F1" w:rsidRPr="003E77F1" w:rsidRDefault="003E77F1" w:rsidP="007E12C3">
            <w:pPr>
              <w:rPr>
                <w:lang w:val="en-US"/>
              </w:rPr>
            </w:pPr>
            <w:r w:rsidRPr="003E77F1">
              <w:rPr>
                <w:lang w:val="en-US"/>
              </w:rPr>
              <w:t>W17</w:t>
            </w:r>
          </w:p>
        </w:tc>
        <w:tc>
          <w:tcPr>
            <w:tcW w:w="0" w:type="auto"/>
            <w:hideMark/>
          </w:tcPr>
          <w:p w14:paraId="79A520BD" w14:textId="77777777" w:rsidR="003E77F1" w:rsidRPr="003E77F1" w:rsidRDefault="003E77F1" w:rsidP="007E12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13, 16–18, 24, 37–38, 44</w:t>
            </w:r>
          </w:p>
        </w:tc>
      </w:tr>
      <w:tr w:rsidR="003E77F1" w:rsidRPr="003E77F1" w14:paraId="4FED8381"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8496718" w14:textId="77777777" w:rsidR="003E77F1" w:rsidRPr="003E77F1" w:rsidRDefault="003E77F1" w:rsidP="007E12C3">
            <w:pPr>
              <w:rPr>
                <w:lang w:val="en-US"/>
              </w:rPr>
            </w:pPr>
            <w:r w:rsidRPr="003E77F1">
              <w:rPr>
                <w:lang w:val="en-US"/>
              </w:rPr>
              <w:t>M171115</w:t>
            </w:r>
          </w:p>
        </w:tc>
        <w:tc>
          <w:tcPr>
            <w:tcW w:w="0" w:type="auto"/>
            <w:hideMark/>
          </w:tcPr>
          <w:p w14:paraId="6304F30F" w14:textId="77777777" w:rsidR="003E77F1" w:rsidRPr="003E77F1" w:rsidRDefault="003E77F1" w:rsidP="007E12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13, 16–18, 24, 37, 44, 48–49, 61–62, 66, 72, 75, 80, 86–90, 92, 94, 98, 100–104, 106, 108, 110–114, 116–120</w:t>
            </w:r>
          </w:p>
        </w:tc>
      </w:tr>
      <w:tr w:rsidR="003E77F1" w:rsidRPr="003E77F1" w14:paraId="3C232C59"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5DACBC5" w14:textId="77777777" w:rsidR="003E77F1" w:rsidRPr="003E77F1" w:rsidRDefault="003E77F1" w:rsidP="007E12C3">
            <w:pPr>
              <w:rPr>
                <w:lang w:val="en-US"/>
              </w:rPr>
            </w:pPr>
            <w:r w:rsidRPr="003E77F1">
              <w:rPr>
                <w:lang w:val="en-US"/>
              </w:rPr>
              <w:t>M172303</w:t>
            </w:r>
          </w:p>
        </w:tc>
        <w:tc>
          <w:tcPr>
            <w:tcW w:w="0" w:type="auto"/>
            <w:hideMark/>
          </w:tcPr>
          <w:p w14:paraId="15C83197" w14:textId="77777777" w:rsidR="003E77F1" w:rsidRPr="003E77F1" w:rsidRDefault="003E77F1" w:rsidP="007E12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13, 16–18, 24–25, 37, 44, 48–49, 61–62, 75–76, 80, 87–90, 94, 100–104, 112–114, 116, 118, 120</w:t>
            </w:r>
          </w:p>
        </w:tc>
      </w:tr>
      <w:tr w:rsidR="003E77F1" w:rsidRPr="003E77F1" w14:paraId="4EC85811"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C69188B" w14:textId="77777777" w:rsidR="003E77F1" w:rsidRPr="003E77F1" w:rsidRDefault="003E77F1" w:rsidP="007E12C3">
            <w:pPr>
              <w:rPr>
                <w:lang w:val="en-US"/>
              </w:rPr>
            </w:pPr>
            <w:r w:rsidRPr="003E77F1">
              <w:rPr>
                <w:lang w:val="en-US"/>
              </w:rPr>
              <w:t>M17</w:t>
            </w:r>
          </w:p>
        </w:tc>
        <w:tc>
          <w:tcPr>
            <w:tcW w:w="0" w:type="auto"/>
            <w:hideMark/>
          </w:tcPr>
          <w:p w14:paraId="56DF478A" w14:textId="77777777" w:rsidR="003E77F1" w:rsidRPr="003E77F1" w:rsidRDefault="003E77F1" w:rsidP="007E12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13, 16–18, 24, 37, 44, 48–49, 62, 66, 72, 75, 76, 80, 86–90, 94, 100–104, 108, 110, 112–114, 116, 118, 120</w:t>
            </w:r>
          </w:p>
        </w:tc>
        <w:bookmarkEnd w:id="6"/>
      </w:tr>
    </w:tbl>
    <w:p w14:paraId="4D72D9E0" w14:textId="31A045AF" w:rsidR="003E77F1" w:rsidRDefault="003E77F1" w:rsidP="003E77F1">
      <w:r w:rsidRPr="003E77F1">
        <w:t xml:space="preserve">At the first step of analysis, we </w:t>
      </w:r>
      <w:proofErr w:type="spellStart"/>
      <w:r w:rsidRPr="003E77F1">
        <w:t>analyzed</w:t>
      </w:r>
      <w:proofErr w:type="spellEnd"/>
      <w:r w:rsidRPr="003E77F1">
        <w:t xml:space="preserve"> the improvement in the ability of the PMF solution to explain residual structure with the addition of factors. We selected an initial range of factors based on analysis of the residual structure. In this range, we selected an initial number of p factors based on correlations with the factors at the selection p−1. Specific aspects of the </w:t>
      </w:r>
    </w:p>
    <w:p w14:paraId="155EBD16" w14:textId="77777777" w:rsidR="001558C5" w:rsidRDefault="001558C5" w:rsidP="00C213C3">
      <w:pPr>
        <w:pStyle w:val="Caption"/>
      </w:pPr>
      <w:bookmarkStart w:id="7" w:name="_Toc64291821"/>
    </w:p>
    <w:p w14:paraId="704F3245" w14:textId="0DB5DFFE" w:rsidR="003E77F1" w:rsidRDefault="003E77F1" w:rsidP="00C213C3">
      <w:pPr>
        <w:pStyle w:val="Caption"/>
        <w:rPr>
          <w:lang w:eastAsia="en-US"/>
        </w:rPr>
      </w:pPr>
      <w:r>
        <w:t xml:space="preserve">Table S4 </w:t>
      </w:r>
      <w:proofErr w:type="spellStart"/>
      <w:r>
        <w:t>Analyzed</w:t>
      </w:r>
      <w:proofErr w:type="spellEnd"/>
      <w:r>
        <w:t xml:space="preserve"> aspects of residual structure and criteria of factor selection</w:t>
      </w:r>
      <w:bookmarkEnd w:id="7"/>
    </w:p>
    <w:tbl>
      <w:tblPr>
        <w:tblStyle w:val="Copernicus"/>
        <w:tblW w:w="5000" w:type="pct"/>
        <w:tblLook w:val="04A0" w:firstRow="1" w:lastRow="0" w:firstColumn="1" w:lastColumn="0" w:noHBand="0" w:noVBand="1"/>
      </w:tblPr>
      <w:tblGrid>
        <w:gridCol w:w="2514"/>
        <w:gridCol w:w="7511"/>
      </w:tblGrid>
      <w:tr w:rsidR="003E77F1" w14:paraId="349C5C44" w14:textId="77777777" w:rsidTr="00D32D5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54" w:type="pct"/>
            <w:hideMark/>
          </w:tcPr>
          <w:p w14:paraId="29486FD0" w14:textId="77777777" w:rsidR="003E77F1" w:rsidRDefault="003E77F1" w:rsidP="00C213C3">
            <w:pPr>
              <w:rPr>
                <w:rFonts w:eastAsia="Calibri"/>
              </w:rPr>
            </w:pPr>
            <w:r>
              <w:rPr>
                <w:rFonts w:eastAsia="Calibri"/>
              </w:rPr>
              <w:t>Aspect studied</w:t>
            </w:r>
          </w:p>
        </w:tc>
        <w:tc>
          <w:tcPr>
            <w:tcW w:w="3746" w:type="pct"/>
            <w:hideMark/>
          </w:tcPr>
          <w:p w14:paraId="5AF64405" w14:textId="77777777" w:rsidR="003E77F1" w:rsidRDefault="003E77F1" w:rsidP="00C213C3">
            <w:pPr>
              <w:cnfStyle w:val="100000000000" w:firstRow="1" w:lastRow="0" w:firstColumn="0" w:lastColumn="0" w:oddVBand="0" w:evenVBand="0" w:oddHBand="0" w:evenHBand="0" w:firstRowFirstColumn="0" w:firstRowLastColumn="0" w:lastRowFirstColumn="0" w:lastRowLastColumn="0"/>
              <w:rPr>
                <w:rFonts w:eastAsia="Calibri"/>
              </w:rPr>
            </w:pPr>
            <w:r>
              <w:rPr>
                <w:rFonts w:eastAsia="Calibri"/>
              </w:rPr>
              <w:t>Criteria of factor selection</w:t>
            </w:r>
          </w:p>
        </w:tc>
      </w:tr>
      <w:tr w:rsidR="003E77F1" w14:paraId="5E7F176B" w14:textId="77777777" w:rsidTr="00D32D5D">
        <w:trPr>
          <w:trHeight w:val="20"/>
        </w:trPr>
        <w:tc>
          <w:tcPr>
            <w:cnfStyle w:val="001000000000" w:firstRow="0" w:lastRow="0" w:firstColumn="1" w:lastColumn="0" w:oddVBand="0" w:evenVBand="0" w:oddHBand="0" w:evenHBand="0" w:firstRowFirstColumn="0" w:firstRowLastColumn="0" w:lastRowFirstColumn="0" w:lastRowLastColumn="0"/>
            <w:tcW w:w="1254" w:type="pct"/>
            <w:hideMark/>
          </w:tcPr>
          <w:p w14:paraId="6D8C7E7B" w14:textId="4098D098" w:rsidR="003E77F1" w:rsidRDefault="003E77F1" w:rsidP="00C213C3">
            <w:pPr>
              <w:rPr>
                <w:rFonts w:eastAsia="Calibri"/>
              </w:rPr>
            </w:pPr>
            <w:r>
              <w:rPr>
                <w:rFonts w:eastAsia="Calibri"/>
              </w:rPr>
              <w:t xml:space="preserve">Overall </w:t>
            </w:r>
            <w:r w:rsidR="003C0805" w:rsidRPr="003C0805">
              <w:rPr>
                <w:rFonts w:eastAsia="Calibri"/>
                <w:i/>
              </w:rPr>
              <w:t>Q/Qexp</w:t>
            </w:r>
            <w:r>
              <w:rPr>
                <w:rFonts w:eastAsia="Calibri"/>
              </w:rPr>
              <w:t xml:space="preserve"> as a function of the number of factors</w:t>
            </w:r>
          </w:p>
        </w:tc>
        <w:tc>
          <w:tcPr>
            <w:tcW w:w="3746" w:type="pct"/>
            <w:hideMark/>
          </w:tcPr>
          <w:p w14:paraId="41DD3676" w14:textId="7A3580D5" w:rsidR="003E77F1" w:rsidRDefault="003C0805" w:rsidP="00C213C3">
            <w:pPr>
              <w:cnfStyle w:val="000000000000" w:firstRow="0" w:lastRow="0" w:firstColumn="0" w:lastColumn="0" w:oddVBand="0" w:evenVBand="0" w:oddHBand="0" w:evenHBand="0" w:firstRowFirstColumn="0" w:firstRowLastColumn="0" w:lastRowFirstColumn="0" w:lastRowLastColumn="0"/>
              <w:rPr>
                <w:rFonts w:eastAsia="Calibri"/>
              </w:rPr>
            </w:pPr>
            <w:r w:rsidRPr="003C0805">
              <w:rPr>
                <w:rFonts w:eastAsia="Calibri"/>
                <w:i/>
              </w:rPr>
              <w:t>Q/Qexp</w:t>
            </w:r>
            <w:r w:rsidR="003E77F1">
              <w:rPr>
                <w:rFonts w:eastAsia="Calibri"/>
              </w:rPr>
              <w:t xml:space="preserve"> decreases as more factors are added. Here, we look at the rate of the drops as new solutions are added. After a few factor additions above two factors, the drops begin to stagnate to a constant. This is the point when new factors added explain minimal information in the residual structure.</w:t>
            </w:r>
          </w:p>
        </w:tc>
      </w:tr>
      <w:tr w:rsidR="003E77F1" w14:paraId="47457BC5" w14:textId="77777777" w:rsidTr="00D32D5D">
        <w:trPr>
          <w:trHeight w:val="20"/>
        </w:trPr>
        <w:tc>
          <w:tcPr>
            <w:cnfStyle w:val="001000000000" w:firstRow="0" w:lastRow="0" w:firstColumn="1" w:lastColumn="0" w:oddVBand="0" w:evenVBand="0" w:oddHBand="0" w:evenHBand="0" w:firstRowFirstColumn="0" w:firstRowLastColumn="0" w:lastRowFirstColumn="0" w:lastRowLastColumn="0"/>
            <w:tcW w:w="1254" w:type="pct"/>
            <w:hideMark/>
          </w:tcPr>
          <w:p w14:paraId="4CB259CF" w14:textId="77777777" w:rsidR="003E77F1" w:rsidRDefault="003E77F1" w:rsidP="00C213C3">
            <w:pPr>
              <w:rPr>
                <w:rFonts w:eastAsia="Calibri"/>
              </w:rPr>
            </w:pPr>
            <w:r>
              <w:rPr>
                <w:rFonts w:eastAsia="Calibri"/>
              </w:rPr>
              <w:t>Statistics of residual and scaled residual data</w:t>
            </w:r>
          </w:p>
        </w:tc>
        <w:tc>
          <w:tcPr>
            <w:tcW w:w="3746" w:type="pct"/>
            <w:hideMark/>
          </w:tcPr>
          <w:p w14:paraId="712C304A" w14:textId="3BADF574" w:rsidR="003E77F1" w:rsidRDefault="003E77F1" w:rsidP="00C213C3">
            <w:pPr>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 xml:space="preserve">Mean values of </w:t>
            </w:r>
            <w:r w:rsidR="003C0805" w:rsidRPr="003C0805">
              <w:rPr>
                <w:rFonts w:eastAsia="Calibri"/>
                <w:i/>
              </w:rPr>
              <w:t>Q/Qexp</w:t>
            </w:r>
            <w:r>
              <w:rPr>
                <w:rFonts w:eastAsia="Calibri"/>
              </w:rPr>
              <w:t xml:space="preserve"> may not be representative of other central tendencies and range of the </w:t>
            </w:r>
            <w:r w:rsidR="003C0805" w:rsidRPr="003C0805">
              <w:rPr>
                <w:rFonts w:eastAsia="Calibri"/>
                <w:i/>
              </w:rPr>
              <w:t>Q/Qexp</w:t>
            </w:r>
            <w:r>
              <w:rPr>
                <w:rFonts w:eastAsia="Calibri"/>
              </w:rPr>
              <w:t xml:space="preserve"> distribution. Here, we look at the minimum, maximum, median, and histograms of </w:t>
            </w:r>
            <w:r w:rsidR="003C0805" w:rsidRPr="003C0805">
              <w:rPr>
                <w:rFonts w:eastAsia="Calibri"/>
                <w:i/>
              </w:rPr>
              <w:t>Q/Qexp</w:t>
            </w:r>
            <w:r>
              <w:rPr>
                <w:rFonts w:eastAsia="Calibri"/>
              </w:rPr>
              <w:t xml:space="preserve"> to observe changes in residual structure. Small changes in the parameters and bleeding on the lower end of the histogram suggests optimal factor solution has likely been reached.</w:t>
            </w:r>
          </w:p>
        </w:tc>
      </w:tr>
      <w:tr w:rsidR="003E77F1" w14:paraId="7930C069" w14:textId="77777777" w:rsidTr="00D32D5D">
        <w:trPr>
          <w:trHeight w:val="20"/>
        </w:trPr>
        <w:tc>
          <w:tcPr>
            <w:cnfStyle w:val="001000000000" w:firstRow="0" w:lastRow="0" w:firstColumn="1" w:lastColumn="0" w:oddVBand="0" w:evenVBand="0" w:oddHBand="0" w:evenHBand="0" w:firstRowFirstColumn="0" w:firstRowLastColumn="0" w:lastRowFirstColumn="0" w:lastRowLastColumn="0"/>
            <w:tcW w:w="1254" w:type="pct"/>
            <w:hideMark/>
          </w:tcPr>
          <w:p w14:paraId="4FAA1C31" w14:textId="77777777" w:rsidR="003E77F1" w:rsidRDefault="003E77F1" w:rsidP="00C213C3">
            <w:pPr>
              <w:rPr>
                <w:rFonts w:eastAsia="Calibri"/>
              </w:rPr>
            </w:pPr>
            <w:r>
              <w:rPr>
                <w:rFonts w:eastAsia="Calibri"/>
              </w:rPr>
              <w:t>Correlogram of residual and scaled residual MS with reference MS profiles</w:t>
            </w:r>
          </w:p>
        </w:tc>
        <w:tc>
          <w:tcPr>
            <w:tcW w:w="3746" w:type="pct"/>
            <w:hideMark/>
          </w:tcPr>
          <w:p w14:paraId="4C0865A8" w14:textId="77777777" w:rsidR="003E77F1" w:rsidRDefault="003E77F1" w:rsidP="00C213C3">
            <w:pPr>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The residual might be dominated by the influence of a specific PMF factor. Here, we look at correlations of residual MS with reference profiles to check if a specific type of factor dominates the residual MS, suggesting the addition of new factors might be needed.</w:t>
            </w:r>
          </w:p>
        </w:tc>
      </w:tr>
      <w:tr w:rsidR="003E77F1" w14:paraId="3C8FC212" w14:textId="77777777" w:rsidTr="00D32D5D">
        <w:trPr>
          <w:trHeight w:val="20"/>
        </w:trPr>
        <w:tc>
          <w:tcPr>
            <w:cnfStyle w:val="001000000000" w:firstRow="0" w:lastRow="0" w:firstColumn="1" w:lastColumn="0" w:oddVBand="0" w:evenVBand="0" w:oddHBand="0" w:evenHBand="0" w:firstRowFirstColumn="0" w:firstRowLastColumn="0" w:lastRowFirstColumn="0" w:lastRowLastColumn="0"/>
            <w:tcW w:w="1254" w:type="pct"/>
            <w:hideMark/>
          </w:tcPr>
          <w:p w14:paraId="5E5268F0" w14:textId="77777777" w:rsidR="003E77F1" w:rsidRDefault="003E77F1" w:rsidP="00C213C3">
            <w:pPr>
              <w:rPr>
                <w:rFonts w:eastAsia="Calibri"/>
              </w:rPr>
            </w:pPr>
            <w:r>
              <w:rPr>
                <w:rFonts w:eastAsia="Calibri"/>
              </w:rPr>
              <w:t>Correlogram of residual TS with reference TS profiles</w:t>
            </w:r>
          </w:p>
        </w:tc>
        <w:tc>
          <w:tcPr>
            <w:tcW w:w="3746" w:type="pct"/>
            <w:hideMark/>
          </w:tcPr>
          <w:p w14:paraId="1A90B580" w14:textId="77777777" w:rsidR="003E77F1" w:rsidRDefault="003E77F1" w:rsidP="00C213C3">
            <w:pPr>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Mass spectral correlation of the residual MS with reference MS is not sufficient to attribute residual to a specific factor (Ulbrich et al., 2009). Here, we look at correlations of residual TS with external tracers to check if the specific type of factor identified in residual MS has relevant TS correlations with tracers.</w:t>
            </w:r>
          </w:p>
        </w:tc>
      </w:tr>
      <w:tr w:rsidR="00C213C3" w14:paraId="06F2014C" w14:textId="77777777" w:rsidTr="00D32D5D">
        <w:trPr>
          <w:trHeight w:val="20"/>
        </w:trPr>
        <w:tc>
          <w:tcPr>
            <w:cnfStyle w:val="001000000000" w:firstRow="0" w:lastRow="0" w:firstColumn="1" w:lastColumn="0" w:oddVBand="0" w:evenVBand="0" w:oddHBand="0" w:evenHBand="0" w:firstRowFirstColumn="0" w:firstRowLastColumn="0" w:lastRowFirstColumn="0" w:lastRowLastColumn="0"/>
            <w:tcW w:w="1254" w:type="pct"/>
          </w:tcPr>
          <w:p w14:paraId="7BAB7456" w14:textId="6EC1FB2D" w:rsidR="00C213C3" w:rsidRDefault="00C213C3" w:rsidP="00C213C3">
            <w:pPr>
              <w:rPr>
                <w:rFonts w:eastAsia="Calibri"/>
              </w:rPr>
            </w:pPr>
            <w:r>
              <w:t>Time series variations in residual and scaled residual patterns</w:t>
            </w:r>
          </w:p>
        </w:tc>
        <w:tc>
          <w:tcPr>
            <w:tcW w:w="3746" w:type="pct"/>
          </w:tcPr>
          <w:p w14:paraId="7B9B1142" w14:textId="22CDEB87" w:rsidR="00C213C3" w:rsidRDefault="00C213C3" w:rsidP="00C213C3">
            <w:pPr>
              <w:cnfStyle w:val="000000000000" w:firstRow="0" w:lastRow="0" w:firstColumn="0" w:lastColumn="0" w:oddVBand="0" w:evenVBand="0" w:oddHBand="0" w:evenHBand="0" w:firstRowFirstColumn="0" w:firstRowLastColumn="0" w:lastRowFirstColumn="0" w:lastRowLastColumn="0"/>
              <w:rPr>
                <w:rFonts w:eastAsia="Calibri"/>
              </w:rPr>
            </w:pPr>
            <w:r>
              <w:t>Often, time series patterns by season, month of season, day of week, and hour of day can reveal information about factors due to similarity with human-activity patterns (Crippa et al., 2020). Here, we look at these patterns to identify changes in residual time series structure. As an example, a residual with minimal diurnal structure would be considered as more suitable than a residual with significant diurnal structure.</w:t>
            </w:r>
          </w:p>
        </w:tc>
      </w:tr>
      <w:tr w:rsidR="00C213C3" w14:paraId="663254C9" w14:textId="77777777" w:rsidTr="00D32D5D">
        <w:trPr>
          <w:trHeight w:val="20"/>
        </w:trPr>
        <w:tc>
          <w:tcPr>
            <w:cnfStyle w:val="001000000000" w:firstRow="0" w:lastRow="0" w:firstColumn="1" w:lastColumn="0" w:oddVBand="0" w:evenVBand="0" w:oddHBand="0" w:evenHBand="0" w:firstRowFirstColumn="0" w:firstRowLastColumn="0" w:lastRowFirstColumn="0" w:lastRowLastColumn="0"/>
            <w:tcW w:w="1254" w:type="pct"/>
          </w:tcPr>
          <w:p w14:paraId="7D4913CA" w14:textId="0785ADED" w:rsidR="00C213C3" w:rsidRDefault="003C0805" w:rsidP="00C213C3">
            <w:pPr>
              <w:rPr>
                <w:rFonts w:eastAsia="Calibri"/>
              </w:rPr>
            </w:pPr>
            <w:r w:rsidRPr="003C0805">
              <w:rPr>
                <w:i/>
              </w:rPr>
              <w:t>Q/Qexp</w:t>
            </w:r>
            <w:r w:rsidR="00C213C3">
              <w:t xml:space="preserve"> at different </w:t>
            </w:r>
            <w:r w:rsidRPr="003C0805">
              <w:rPr>
                <w:i/>
              </w:rPr>
              <w:t>m/z</w:t>
            </w:r>
            <w:r w:rsidR="00C213C3">
              <w:rPr>
                <w:i/>
              </w:rPr>
              <w:t>s</w:t>
            </w:r>
          </w:p>
        </w:tc>
        <w:tc>
          <w:tcPr>
            <w:tcW w:w="3746" w:type="pct"/>
          </w:tcPr>
          <w:p w14:paraId="778937E5" w14:textId="50E8D8C7" w:rsidR="00C213C3" w:rsidRDefault="00C213C3" w:rsidP="00C213C3">
            <w:pPr>
              <w:cnfStyle w:val="000000000000" w:firstRow="0" w:lastRow="0" w:firstColumn="0" w:lastColumn="0" w:oddVBand="0" w:evenVBand="0" w:oddHBand="0" w:evenHBand="0" w:firstRowFirstColumn="0" w:firstRowLastColumn="0" w:lastRowFirstColumn="0" w:lastRowLastColumn="0"/>
              <w:rPr>
                <w:rFonts w:eastAsia="Calibri"/>
              </w:rPr>
            </w:pPr>
            <w:r>
              <w:t xml:space="preserve">Contributions at all </w:t>
            </w:r>
            <w:r w:rsidR="003C0805" w:rsidRPr="003C0805">
              <w:rPr>
                <w:i/>
              </w:rPr>
              <w:t>m/z</w:t>
            </w:r>
            <w:r>
              <w:t xml:space="preserve"> fragments are not equally fit. Here, we plot average </w:t>
            </w:r>
            <w:r w:rsidR="003C0805" w:rsidRPr="003C0805">
              <w:rPr>
                <w:i/>
              </w:rPr>
              <w:t>Q/Qexp</w:t>
            </w:r>
            <w:r>
              <w:t xml:space="preserve"> at all </w:t>
            </w:r>
            <w:r w:rsidR="003C0805" w:rsidRPr="003C0805">
              <w:rPr>
                <w:i/>
              </w:rPr>
              <w:t>m/z</w:t>
            </w:r>
            <w:r>
              <w:rPr>
                <w:i/>
              </w:rPr>
              <w:t>s</w:t>
            </w:r>
            <w:r>
              <w:t xml:space="preserve"> and use the plot to identify transition points for fitting of data at </w:t>
            </w:r>
            <w:r w:rsidR="003C0805" w:rsidRPr="003C0805">
              <w:rPr>
                <w:i/>
              </w:rPr>
              <w:t>m/z</w:t>
            </w:r>
            <w:r>
              <w:rPr>
                <w:i/>
              </w:rPr>
              <w:t>s</w:t>
            </w:r>
            <w:r>
              <w:t xml:space="preserve">, particularly those typically considered tracers, such as </w:t>
            </w:r>
            <w:r w:rsidR="003C0805" w:rsidRPr="003C0805">
              <w:rPr>
                <w:i/>
              </w:rPr>
              <w:t>m/z</w:t>
            </w:r>
            <w:r>
              <w:rPr>
                <w:i/>
              </w:rPr>
              <w:t>s</w:t>
            </w:r>
            <w:r>
              <w:t xml:space="preserve"> 29, 43, 44, 55, 57, 60, 73, and 115.</w:t>
            </w:r>
          </w:p>
        </w:tc>
      </w:tr>
      <w:tr w:rsidR="00C213C3" w14:paraId="7660546F" w14:textId="77777777" w:rsidTr="00D32D5D">
        <w:trPr>
          <w:trHeight w:val="20"/>
        </w:trPr>
        <w:tc>
          <w:tcPr>
            <w:cnfStyle w:val="001000000000" w:firstRow="0" w:lastRow="0" w:firstColumn="1" w:lastColumn="0" w:oddVBand="0" w:evenVBand="0" w:oddHBand="0" w:evenHBand="0" w:firstRowFirstColumn="0" w:firstRowLastColumn="0" w:lastRowFirstColumn="0" w:lastRowLastColumn="0"/>
            <w:tcW w:w="1254" w:type="pct"/>
          </w:tcPr>
          <w:p w14:paraId="2F0DD745" w14:textId="67FEE005" w:rsidR="00C213C3" w:rsidRDefault="00C213C3" w:rsidP="00C213C3">
            <w:pPr>
              <w:rPr>
                <w:rFonts w:eastAsia="Calibri"/>
              </w:rPr>
            </w:pPr>
            <w:r>
              <w:t xml:space="preserve">Time series variations in </w:t>
            </w:r>
            <w:r w:rsidR="003C0805" w:rsidRPr="003C0805">
              <w:rPr>
                <w:i/>
              </w:rPr>
              <w:t>Q/Qexp</w:t>
            </w:r>
          </w:p>
        </w:tc>
        <w:tc>
          <w:tcPr>
            <w:tcW w:w="3746" w:type="pct"/>
          </w:tcPr>
          <w:p w14:paraId="41084C35" w14:textId="537117FA" w:rsidR="00C213C3" w:rsidRDefault="00C213C3" w:rsidP="00C213C3">
            <w:pPr>
              <w:cnfStyle w:val="000000000000" w:firstRow="0" w:lastRow="0" w:firstColumn="0" w:lastColumn="0" w:oddVBand="0" w:evenVBand="0" w:oddHBand="0" w:evenHBand="0" w:firstRowFirstColumn="0" w:firstRowLastColumn="0" w:lastRowFirstColumn="0" w:lastRowLastColumn="0"/>
              <w:rPr>
                <w:rFonts w:eastAsia="Calibri"/>
              </w:rPr>
            </w:pPr>
            <w:r>
              <w:t xml:space="preserve">Average values of overall </w:t>
            </w:r>
            <w:r w:rsidR="003C0805" w:rsidRPr="003C0805">
              <w:rPr>
                <w:i/>
              </w:rPr>
              <w:t>Q/Qexp</w:t>
            </w:r>
            <w:r>
              <w:t xml:space="preserve"> cannot provide detailed information on the time series patterns of </w:t>
            </w:r>
            <w:r w:rsidR="003C0805" w:rsidRPr="003C0805">
              <w:rPr>
                <w:i/>
              </w:rPr>
              <w:t>Q/Qexp</w:t>
            </w:r>
            <w:r>
              <w:t xml:space="preserve"> by season, month of season, day of week, and hour of day. These plots can reveal information about factors due to similarity with human-activity patterns (Crippa et al., 2020). Here, we look at these patterns to identify changes in </w:t>
            </w:r>
            <w:r w:rsidR="003C0805" w:rsidRPr="003C0805">
              <w:rPr>
                <w:i/>
              </w:rPr>
              <w:t>Q/Qexp</w:t>
            </w:r>
            <w:r>
              <w:t xml:space="preserve"> time series structure. As an example, </w:t>
            </w:r>
            <w:r w:rsidR="003C0805" w:rsidRPr="003C0805">
              <w:rPr>
                <w:i/>
              </w:rPr>
              <w:t>Q/Qexp</w:t>
            </w:r>
            <w:r>
              <w:t xml:space="preserve"> with minimal diurnal structure would be considered as more suitable than a residual with significant diurnal structure.</w:t>
            </w:r>
          </w:p>
        </w:tc>
      </w:tr>
      <w:tr w:rsidR="00C213C3" w14:paraId="79D01B6D" w14:textId="77777777" w:rsidTr="00D32D5D">
        <w:trPr>
          <w:trHeight w:val="20"/>
        </w:trPr>
        <w:tc>
          <w:tcPr>
            <w:cnfStyle w:val="001000000000" w:firstRow="0" w:lastRow="0" w:firstColumn="1" w:lastColumn="0" w:oddVBand="0" w:evenVBand="0" w:oddHBand="0" w:evenHBand="0" w:firstRowFirstColumn="0" w:firstRowLastColumn="0" w:lastRowFirstColumn="0" w:lastRowLastColumn="0"/>
            <w:tcW w:w="1254" w:type="pct"/>
            <w:vAlign w:val="top"/>
          </w:tcPr>
          <w:p w14:paraId="027642BA" w14:textId="32BC355D" w:rsidR="00C213C3" w:rsidRDefault="00C213C3" w:rsidP="00C213C3">
            <w:pPr>
              <w:rPr>
                <w:rFonts w:eastAsia="Calibri"/>
              </w:rPr>
            </w:pPr>
            <w:r>
              <w:t xml:space="preserve">Range of scaled residuals at different </w:t>
            </w:r>
            <w:r w:rsidR="003C0805" w:rsidRPr="003C0805">
              <w:rPr>
                <w:i/>
              </w:rPr>
              <w:t>m/z</w:t>
            </w:r>
            <w:r>
              <w:rPr>
                <w:i/>
              </w:rPr>
              <w:t>s</w:t>
            </w:r>
          </w:p>
        </w:tc>
        <w:tc>
          <w:tcPr>
            <w:tcW w:w="3746" w:type="pct"/>
            <w:vAlign w:val="top"/>
          </w:tcPr>
          <w:p w14:paraId="0DEA8A80" w14:textId="068C8E84" w:rsidR="00C213C3" w:rsidRDefault="00C213C3" w:rsidP="00C213C3">
            <w:pPr>
              <w:cnfStyle w:val="000000000000" w:firstRow="0" w:lastRow="0" w:firstColumn="0" w:lastColumn="0" w:oddVBand="0" w:evenVBand="0" w:oddHBand="0" w:evenHBand="0" w:firstRowFirstColumn="0" w:firstRowLastColumn="0" w:lastRowFirstColumn="0" w:lastRowLastColumn="0"/>
              <w:rPr>
                <w:rFonts w:eastAsia="Calibri"/>
              </w:rPr>
            </w:pPr>
            <w:r>
              <w:t xml:space="preserve">A large range of scaled residuals at different </w:t>
            </w:r>
            <w:r w:rsidR="003C0805" w:rsidRPr="003C0805">
              <w:rPr>
                <w:i/>
              </w:rPr>
              <w:t>m/z</w:t>
            </w:r>
            <w:r>
              <w:rPr>
                <w:i/>
              </w:rPr>
              <w:t>s</w:t>
            </w:r>
            <w:r>
              <w:t xml:space="preserve"> would suggest several time series points where the data does not fit contributions at these </w:t>
            </w:r>
            <w:r w:rsidR="003C0805" w:rsidRPr="003C0805">
              <w:rPr>
                <w:i/>
              </w:rPr>
              <w:t>m/z</w:t>
            </w:r>
            <w:r>
              <w:rPr>
                <w:iCs/>
              </w:rPr>
              <w:t>s</w:t>
            </w:r>
            <w:r>
              <w:t>. We use this test as a check that the 25</w:t>
            </w:r>
            <w:r>
              <w:rPr>
                <w:vertAlign w:val="superscript"/>
              </w:rPr>
              <w:t>th</w:t>
            </w:r>
            <w:r>
              <w:t xml:space="preserve"> and the 75</w:t>
            </w:r>
            <w:r>
              <w:rPr>
                <w:vertAlign w:val="superscript"/>
              </w:rPr>
              <w:t>th</w:t>
            </w:r>
            <w:r>
              <w:t xml:space="preserve"> percentile of the scaled residuals at all </w:t>
            </w:r>
            <w:r w:rsidR="003C0805" w:rsidRPr="003C0805">
              <w:rPr>
                <w:i/>
              </w:rPr>
              <w:t>m/z</w:t>
            </w:r>
            <w:r>
              <w:rPr>
                <w:i/>
              </w:rPr>
              <w:t>s</w:t>
            </w:r>
            <w:r>
              <w:t xml:space="preserve"> are within ±3. </w:t>
            </w:r>
          </w:p>
        </w:tc>
      </w:tr>
    </w:tbl>
    <w:p w14:paraId="72150CD2" w14:textId="0F6281B0" w:rsidR="003E77F1" w:rsidRDefault="003E77F1" w:rsidP="003E77F1">
      <w:pPr>
        <w:overflowPunct w:val="0"/>
        <w:autoSpaceDE w:val="0"/>
        <w:autoSpaceDN w:val="0"/>
        <w:adjustRightInd w:val="0"/>
        <w:spacing w:line="240" w:lineRule="auto"/>
        <w:textAlignment w:val="baseline"/>
        <w:rPr>
          <w:rFonts w:ascii="Calibri Light" w:hAnsi="Calibri Light"/>
          <w:sz w:val="24"/>
          <w:szCs w:val="20"/>
        </w:rPr>
      </w:pPr>
    </w:p>
    <w:p w14:paraId="17D07A84" w14:textId="77777777" w:rsidR="003E77F1" w:rsidRDefault="003E77F1" w:rsidP="003E77F1">
      <w:proofErr w:type="spellStart"/>
      <w:r w:rsidRPr="003E77F1">
        <w:t>analyzed</w:t>
      </w:r>
      <w:proofErr w:type="spellEnd"/>
      <w:r w:rsidRPr="003E77F1">
        <w:t xml:space="preserve"> residual structure are included in Table S4. The next criteria employed for factor selection was the correlation of factor mass spectral profiles with reference mass spectra. We used as reference mass spectra the average mass spectral profiles developed by Ng et al. (2011) and cooking organic aerosol (COA) and coal combustion organic aerosol (CCOA) profiles in the AMS spectral databases (Ulbrich et al., 2017, 2018), and the one with the highest correlation with the mass spectrum of the PMF-generated factor (generally, Pearson R≥0.9) is used for naming the obtained factor (Ng et al., 2011). This comparison enables the separation of factors based on their sources, since MS of different factors are characterized by different spectral signature peaks (Zhang et al., 2011). For example, hydrocarbon-like organic aerosol (HOA) is a proxy for fresh traffic and combustion emissions and shows prominent peaks at m∕z values 55 and 57 and a higher fractional organic signal at m∕z 43 than m∕z 44. Other criteria employed to select the number of factors include the correlations of factor time series with external tracers, and time series patterns by season, month of season, day of week, and hour of day. As an example, we expected that the time series patterns would suggest high concentrations of BBOA in colder months and higher HOA at traffic hours in diurnal patterns. In this study, we utilized the co-located aethalometer measurements of BC (880 nm) as a traffic tracer. For biomass burning, we used two tracers: (i) ΔC, defined as the difference between UVPM (370 nm) and BC detected by the aethalometer (Wang et al., 2011; Olson et al., 2015; Tian et al., 2019), and (ii) the biomass-burning component of black carbon, BC</w:t>
      </w:r>
      <w:r w:rsidRPr="000271FC">
        <w:rPr>
          <w:vertAlign w:val="subscript"/>
        </w:rPr>
        <w:t>BB</w:t>
      </w:r>
      <w:r w:rsidRPr="003E77F1">
        <w:t xml:space="preserve">, estimated using the model of Sandradewi et al. (2008). We extracted CO, NO2, and O3 data using the </w:t>
      </w:r>
      <w:proofErr w:type="spellStart"/>
      <w:r w:rsidRPr="003E77F1">
        <w:t>OpenAQ</w:t>
      </w:r>
      <w:proofErr w:type="spellEnd"/>
      <w:r w:rsidRPr="003E77F1">
        <w:t xml:space="preserve"> Platform (openaq.org, last access: 1 August 2019). The </w:t>
      </w:r>
      <w:proofErr w:type="spellStart"/>
      <w:r w:rsidRPr="003E77F1">
        <w:t>OpenAQ</w:t>
      </w:r>
      <w:proofErr w:type="spellEnd"/>
      <w:r w:rsidRPr="003E77F1">
        <w:t xml:space="preserve"> data originate from a fixed regulatory monitoring location, R.K. Puram, maintained by the Central Pollution Control Board (CPCB), government of India, about </w:t>
      </w:r>
      <w:r w:rsidRPr="003E77F1">
        <w:rPr>
          <w:rFonts w:ascii="Cambria Math" w:hAnsi="Cambria Math" w:cs="Cambria Math"/>
        </w:rPr>
        <w:t>∼</w:t>
      </w:r>
      <w:r w:rsidRPr="003E77F1">
        <w:t> 3–4 km aerial distance from the measurement site. This analysis marks the end of the second round of factor identification, with a selected number of factors. For correlations, we used the Pearson correlation coefficient (Pearson R) for mass spectral data and Spearman correlation coefficient (Spearman R) for time series patterns. This differentiation was recommended in the peer review of Ulbrich et al (2009), due to the limitation of Pearson R for slowly varying time series concentrations.</w:t>
      </w:r>
    </w:p>
    <w:p w14:paraId="33F8CC88" w14:textId="77777777" w:rsidR="003E77F1" w:rsidRDefault="003E77F1" w:rsidP="003E77F1">
      <w:pPr>
        <w:ind w:firstLine="720"/>
      </w:pPr>
      <w:r w:rsidRPr="003E77F1">
        <w:t>In previous work, differences between plausible factor solutions in the FPEAK–SEED 2-D space were considered representative of the uncertainty of the final selected solution (Ulbrich et al., 2009, Bhandari et al., 2020). We observed unreasonable MS, weak time series correlations, or rotational ambiguity on changing FPEAK and/or SEED from the default selection of FPEAK = 0 and SEED = 0. Therefore, default parameter values were used (Chapter 2; Bhandari et al., 2020). In EPA PMF, quantitative error estimation (EE) of random error and rotational ambiguity is conducted using BS, DISP, and BS-DISP (Sect. 3.2.5). If the PMF factor solution passes all tests, BS, DISP, and BS-DISP, the solution was regarded as final. The statistical basis of these EE techniques is discussed in detail elsewhere (Paatero et al., 2014).</w:t>
      </w:r>
    </w:p>
    <w:p w14:paraId="6ACB482F" w14:textId="704D6757" w:rsidR="003E77F1" w:rsidRDefault="003E77F1" w:rsidP="003E77F1">
      <w:pPr>
        <w:ind w:firstLine="720"/>
      </w:pPr>
      <w:r w:rsidRPr="003E77F1">
        <w:t xml:space="preserve">However, sometimes, the base PMF solutions did not pass uncertainty tests. To address the inability of the solution to pass the PMF tests, we changed the SEED value while keeping the number of factors constant. Changing the SEED value initializes the PMF algorithm with different pseudorandom starts. We changed the SEED value at least once and run 10 runs each time, leading to at least 20 random starts. If changing the SEED value did not lead to an improved base run, we either used FPEAK or applied constraints. Changing the FPEAK value allows exploring rotations of solutions of a given number of factors. We recalculate BS on running FPEAK to account for random errors; thus, FPEAK is particularly useful to improve base solutions that pass the DISP test but fail BS. However, DISP and BS-DISP error evaluations are biased when FPEAK is used (Norris et al., 2014). Therefore, we rely on DISP of the base run; if the recalculated BS passes the threshold, we assumed that the issues associated with BS in BS-DISP would be fixed as FPEAK is used. We allow a 5% change in </w:t>
      </w:r>
      <w:r w:rsidR="003C0805" w:rsidRPr="003C0805">
        <w:rPr>
          <w:i/>
        </w:rPr>
        <w:t>Q</w:t>
      </w:r>
      <w:r w:rsidRPr="003E77F1">
        <w:t xml:space="preserve"> (or 5% dQ) relative to the base run in the solution obtained using FPEAK.</w:t>
      </w:r>
    </w:p>
    <w:p w14:paraId="139D178E" w14:textId="79977416" w:rsidR="003E77F1" w:rsidRDefault="003E77F1" w:rsidP="003E77F1">
      <w:pPr>
        <w:ind w:firstLine="720"/>
      </w:pPr>
      <w:r w:rsidRPr="003E77F1">
        <w:t xml:space="preserve">If changing FPEAK did not result in a better solution, we applied constraints on the solutions. Since reference profiles are available, we used the “ratio” form of expressions for applying constraints. Application of constraints is very subjective; constraints were obtained from reference profiles, a cleaner factor in other periods, or a cleaner factor in a higher number of factors. Similar approaches have been used previously as well (Canonaco et al., 2015; Zhu et al., 2018; Tobler et al., 2020). To apply constraints, we identified the </w:t>
      </w:r>
      <w:r w:rsidR="003C0805" w:rsidRPr="003C0805">
        <w:rPr>
          <w:i/>
        </w:rPr>
        <w:t>m/z</w:t>
      </w:r>
      <w:r w:rsidRPr="003E77F1">
        <w:t xml:space="preserve">s with the least uncertain contributions (Ng et al 2011). We combined the list of these </w:t>
      </w:r>
      <w:r w:rsidR="003C0805" w:rsidRPr="003C0805">
        <w:rPr>
          <w:i/>
        </w:rPr>
        <w:t>m/z</w:t>
      </w:r>
      <w:r w:rsidRPr="003E77F1">
        <w:t xml:space="preserve">s with key </w:t>
      </w:r>
      <w:r w:rsidR="003C0805" w:rsidRPr="003C0805">
        <w:rPr>
          <w:i/>
        </w:rPr>
        <w:t>m/z</w:t>
      </w:r>
      <w:r w:rsidRPr="003E77F1">
        <w:t xml:space="preserve">s such as </w:t>
      </w:r>
      <w:r w:rsidR="003C0805" w:rsidRPr="003C0805">
        <w:rPr>
          <w:i/>
        </w:rPr>
        <w:t>m/z</w:t>
      </w:r>
      <w:r w:rsidRPr="003E77F1">
        <w:t xml:space="preserve"> 29, 44, 43, 55, 57, 60, and 73. Application of constraints on some of these select </w:t>
      </w:r>
      <w:r w:rsidR="003C0805" w:rsidRPr="003C0805">
        <w:rPr>
          <w:i/>
        </w:rPr>
        <w:t>m/z</w:t>
      </w:r>
      <w:r w:rsidRPr="003E77F1">
        <w:t xml:space="preserve">s was sufficient to reach more optimal solutions, e.g., in some PMF runs, constraining the </w:t>
      </w:r>
      <w:r w:rsidR="003C0805" w:rsidRPr="003C0805">
        <w:rPr>
          <w:i/>
        </w:rPr>
        <w:t>m/z</w:t>
      </w:r>
      <w:r w:rsidRPr="003E77F1">
        <w:t xml:space="preserve"> 60 MS contribution to mean of the contribution in the reference profile moved the entire profile to a clean BBOA factor. We allowed a 5% change in </w:t>
      </w:r>
      <w:r w:rsidR="003C0805" w:rsidRPr="003C0805">
        <w:rPr>
          <w:i/>
        </w:rPr>
        <w:t>Q</w:t>
      </w:r>
      <w:r w:rsidRPr="003E77F1">
        <w:t xml:space="preserve"> (or 5% dQ) relative to the base run in the solution obtained by applying constraints. Despite the large dQ% allowed, factor profiles moved in the direction of the constraint but did not necessarily reach the exact value. This subjective movement of the profile allows generation of local profiles with tendencies reflected as similar to global profiles for the same factors.</w:t>
      </w:r>
    </w:p>
    <w:p w14:paraId="6A87228B" w14:textId="5D0F20AD" w:rsidR="003E77F1" w:rsidRPr="003E77F1" w:rsidRDefault="003E6912" w:rsidP="003E77F1">
      <w:pPr>
        <w:pStyle w:val="Heading2"/>
      </w:pPr>
      <w:r w:rsidRPr="003E77F1">
        <w:t xml:space="preserve">S2 </w:t>
      </w:r>
      <w:r>
        <w:t>C</w:t>
      </w:r>
      <w:r w:rsidRPr="003E77F1">
        <w:t xml:space="preserve">orrections to the </w:t>
      </w:r>
      <w:r>
        <w:t>EPA</w:t>
      </w:r>
      <w:r w:rsidRPr="003E77F1">
        <w:t xml:space="preserve"> </w:t>
      </w:r>
      <w:r>
        <w:t>PMF</w:t>
      </w:r>
      <w:r w:rsidRPr="003E77F1">
        <w:t xml:space="preserve"> code</w:t>
      </w:r>
    </w:p>
    <w:p w14:paraId="0B8E3A23" w14:textId="2D170552" w:rsidR="003E77F1" w:rsidRDefault="003E77F1" w:rsidP="003E77F1">
      <w:r w:rsidRPr="003E77F1">
        <w:t xml:space="preserve">The EPA PMF tool references the work of Politis and White (2004) for estimating the bootstrap block size. However, in 2009, they published a correction to their bootstrap estimates (Patton et al., 2009). Updated source code for implementing the calculation of block size is also available (Hayfield and Racine, 2008). The code generates a block size based on each variable; thus, a subjective decision to select a single block size needs to be made. We base our decision for block size on the work of </w:t>
      </w:r>
      <w:proofErr w:type="spellStart"/>
      <w:r w:rsidRPr="003E77F1">
        <w:t>Hemann</w:t>
      </w:r>
      <w:proofErr w:type="spellEnd"/>
      <w:r w:rsidRPr="003E77F1">
        <w:t xml:space="preserve"> and co-workers (2009). They apply the stationary block bootstrap approach for identification of block lengths. As a part of the process, we sum up the mass of all </w:t>
      </w:r>
      <w:r w:rsidR="003C0805" w:rsidRPr="003C0805">
        <w:rPr>
          <w:i/>
        </w:rPr>
        <w:t>m/z</w:t>
      </w:r>
      <w:r w:rsidRPr="003E77F1">
        <w:t xml:space="preserve">s, find the optimal block length for that total mass, and compare the block length for total mass to block length for different percentiles of individual species. Next, we pick a block length that accounts for the total mass but also most of the individual species. Details of the block size calculations are shown in Table S5. In all cases, the used block size accounts for the total mass in PMF runs as well as more than 75% of contributions at different </w:t>
      </w:r>
      <w:r w:rsidR="003C0805" w:rsidRPr="003C0805">
        <w:rPr>
          <w:i/>
        </w:rPr>
        <w:t>m/z</w:t>
      </w:r>
      <w:r w:rsidRPr="003E77F1">
        <w:t>s.</w:t>
      </w:r>
    </w:p>
    <w:p w14:paraId="55492BE3" w14:textId="77777777" w:rsidR="003E77F1" w:rsidRPr="003E77F1" w:rsidRDefault="003E77F1" w:rsidP="003E77F1">
      <w:pPr>
        <w:pStyle w:val="Caption"/>
        <w:rPr>
          <w:lang w:val="en-US"/>
        </w:rPr>
      </w:pPr>
      <w:bookmarkStart w:id="8" w:name="_Toc64291822"/>
      <w:r w:rsidRPr="003E77F1">
        <w:rPr>
          <w:lang w:val="en-US"/>
        </w:rPr>
        <w:t>Table S5 Details of block size calculations for all PMF runs</w:t>
      </w:r>
      <w:bookmarkEnd w:id="8"/>
    </w:p>
    <w:tbl>
      <w:tblPr>
        <w:tblStyle w:val="Copernicus"/>
        <w:tblW w:w="5000" w:type="pct"/>
        <w:tblLook w:val="04A0" w:firstRow="1" w:lastRow="0" w:firstColumn="1" w:lastColumn="0" w:noHBand="0" w:noVBand="1"/>
      </w:tblPr>
      <w:tblGrid>
        <w:gridCol w:w="1338"/>
        <w:gridCol w:w="1337"/>
        <w:gridCol w:w="1337"/>
        <w:gridCol w:w="1718"/>
        <w:gridCol w:w="1432"/>
        <w:gridCol w:w="1337"/>
        <w:gridCol w:w="1526"/>
      </w:tblGrid>
      <w:tr w:rsidR="003E77F1" w:rsidRPr="003E77F1" w14:paraId="28E09FD3" w14:textId="77777777" w:rsidTr="003E77F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67" w:type="pct"/>
            <w:vMerge w:val="restart"/>
            <w:noWrap/>
            <w:hideMark/>
          </w:tcPr>
          <w:p w14:paraId="73257668" w14:textId="77777777" w:rsidR="003E77F1" w:rsidRPr="003E77F1" w:rsidRDefault="003E77F1" w:rsidP="00C213C3">
            <w:pPr>
              <w:rPr>
                <w:lang w:val="en-US"/>
              </w:rPr>
            </w:pPr>
            <w:r w:rsidRPr="003E77F1">
              <w:rPr>
                <w:lang w:val="en-US"/>
              </w:rPr>
              <w:t>Period</w:t>
            </w:r>
          </w:p>
        </w:tc>
        <w:tc>
          <w:tcPr>
            <w:tcW w:w="667" w:type="pct"/>
            <w:vMerge w:val="restart"/>
            <w:noWrap/>
            <w:hideMark/>
          </w:tcPr>
          <w:p w14:paraId="7F3C76E7" w14:textId="77777777" w:rsidR="003E77F1" w:rsidRPr="003E77F1" w:rsidRDefault="003E77F1" w:rsidP="00C213C3">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 xml:space="preserve">Mean </w:t>
            </w:r>
          </w:p>
          <w:p w14:paraId="4DAA7753" w14:textId="77777777" w:rsidR="003E77F1" w:rsidRPr="003E77F1" w:rsidRDefault="003E77F1" w:rsidP="00C213C3">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Block Size</w:t>
            </w:r>
          </w:p>
        </w:tc>
        <w:tc>
          <w:tcPr>
            <w:tcW w:w="667" w:type="pct"/>
            <w:vMerge w:val="restart"/>
            <w:noWrap/>
            <w:hideMark/>
          </w:tcPr>
          <w:p w14:paraId="1FB08B4A" w14:textId="77777777" w:rsidR="003E77F1" w:rsidRPr="003E77F1" w:rsidRDefault="003E77F1" w:rsidP="00C213C3">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 xml:space="preserve">Median </w:t>
            </w:r>
          </w:p>
          <w:p w14:paraId="52DC4B15" w14:textId="77777777" w:rsidR="003E77F1" w:rsidRPr="003E77F1" w:rsidRDefault="003E77F1" w:rsidP="00C213C3">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Block Size</w:t>
            </w:r>
          </w:p>
        </w:tc>
        <w:tc>
          <w:tcPr>
            <w:tcW w:w="857" w:type="pct"/>
            <w:vMerge w:val="restart"/>
            <w:noWrap/>
            <w:hideMark/>
          </w:tcPr>
          <w:p w14:paraId="68393D1E" w14:textId="77777777" w:rsidR="003E77F1" w:rsidRPr="003E77F1" w:rsidRDefault="003E77F1" w:rsidP="00C213C3">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 xml:space="preserve">Block Size for </w:t>
            </w:r>
          </w:p>
          <w:p w14:paraId="76EA9597" w14:textId="77777777" w:rsidR="003E77F1" w:rsidRPr="003E77F1" w:rsidRDefault="003E77F1" w:rsidP="00C213C3">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total organics</w:t>
            </w:r>
          </w:p>
        </w:tc>
        <w:tc>
          <w:tcPr>
            <w:tcW w:w="1381" w:type="pct"/>
            <w:gridSpan w:val="2"/>
            <w:noWrap/>
            <w:hideMark/>
          </w:tcPr>
          <w:p w14:paraId="2079BF10" w14:textId="77777777" w:rsidR="003E77F1" w:rsidRPr="003E77F1" w:rsidRDefault="003E77F1" w:rsidP="00C213C3">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Percentile Calculations</w:t>
            </w:r>
          </w:p>
        </w:tc>
        <w:tc>
          <w:tcPr>
            <w:tcW w:w="761" w:type="pct"/>
            <w:vMerge w:val="restart"/>
            <w:noWrap/>
            <w:hideMark/>
          </w:tcPr>
          <w:p w14:paraId="79A3905E" w14:textId="77777777" w:rsidR="003E77F1" w:rsidRPr="003E77F1" w:rsidRDefault="003E77F1" w:rsidP="00C213C3">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 xml:space="preserve">Used </w:t>
            </w:r>
          </w:p>
          <w:p w14:paraId="12E651E6" w14:textId="77777777" w:rsidR="003E77F1" w:rsidRPr="003E77F1" w:rsidRDefault="003E77F1" w:rsidP="00C213C3">
            <w:pPr>
              <w:cnfStyle w:val="100000000000" w:firstRow="1" w:lastRow="0" w:firstColumn="0" w:lastColumn="0" w:oddVBand="0" w:evenVBand="0" w:oddHBand="0" w:evenHBand="0" w:firstRowFirstColumn="0" w:firstRowLastColumn="0" w:lastRowFirstColumn="0" w:lastRowLastColumn="0"/>
              <w:rPr>
                <w:lang w:val="en-US"/>
              </w:rPr>
            </w:pPr>
            <w:r w:rsidRPr="003E77F1">
              <w:rPr>
                <w:lang w:val="en-US"/>
              </w:rPr>
              <w:t>Block Size</w:t>
            </w:r>
          </w:p>
        </w:tc>
      </w:tr>
      <w:tr w:rsidR="003E77F1" w:rsidRPr="003E77F1" w14:paraId="5C195C4D"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667" w:type="pct"/>
            <w:vMerge/>
            <w:hideMark/>
          </w:tcPr>
          <w:p w14:paraId="4C602F21" w14:textId="77777777" w:rsidR="003E77F1" w:rsidRPr="003E77F1" w:rsidRDefault="003E77F1" w:rsidP="00C213C3">
            <w:pPr>
              <w:rPr>
                <w:lang w:val="en-US"/>
              </w:rPr>
            </w:pPr>
          </w:p>
        </w:tc>
        <w:tc>
          <w:tcPr>
            <w:tcW w:w="667" w:type="pct"/>
            <w:vMerge/>
            <w:hideMark/>
          </w:tcPr>
          <w:p w14:paraId="20FCD7C9"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p>
        </w:tc>
        <w:tc>
          <w:tcPr>
            <w:tcW w:w="667" w:type="pct"/>
            <w:vMerge/>
            <w:hideMark/>
          </w:tcPr>
          <w:p w14:paraId="1EEF08D9"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p>
        </w:tc>
        <w:tc>
          <w:tcPr>
            <w:tcW w:w="857" w:type="pct"/>
            <w:vMerge/>
            <w:hideMark/>
          </w:tcPr>
          <w:p w14:paraId="5333239B"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p>
        </w:tc>
        <w:tc>
          <w:tcPr>
            <w:tcW w:w="714" w:type="pct"/>
            <w:noWrap/>
            <w:hideMark/>
          </w:tcPr>
          <w:p w14:paraId="6BE9C2AE"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Percentile</w:t>
            </w:r>
          </w:p>
        </w:tc>
        <w:tc>
          <w:tcPr>
            <w:tcW w:w="667" w:type="pct"/>
            <w:hideMark/>
          </w:tcPr>
          <w:p w14:paraId="01DE7118"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Block Size</w:t>
            </w:r>
          </w:p>
        </w:tc>
        <w:tc>
          <w:tcPr>
            <w:tcW w:w="761" w:type="pct"/>
            <w:vMerge/>
            <w:hideMark/>
          </w:tcPr>
          <w:p w14:paraId="4DA55E24"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p>
        </w:tc>
      </w:tr>
      <w:tr w:rsidR="003E77F1" w:rsidRPr="003E77F1" w14:paraId="673FB8CD"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667" w:type="pct"/>
            <w:noWrap/>
            <w:hideMark/>
          </w:tcPr>
          <w:p w14:paraId="53F6E2EB" w14:textId="77777777" w:rsidR="003E77F1" w:rsidRPr="003E77F1" w:rsidRDefault="003E77F1" w:rsidP="00C213C3">
            <w:pPr>
              <w:rPr>
                <w:lang w:val="en-US"/>
              </w:rPr>
            </w:pPr>
            <w:r w:rsidRPr="003E77F1">
              <w:rPr>
                <w:lang w:val="en-US"/>
              </w:rPr>
              <w:t>W171115</w:t>
            </w:r>
          </w:p>
        </w:tc>
        <w:tc>
          <w:tcPr>
            <w:tcW w:w="667" w:type="pct"/>
            <w:noWrap/>
            <w:hideMark/>
          </w:tcPr>
          <w:p w14:paraId="416C2F42"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36</w:t>
            </w:r>
          </w:p>
        </w:tc>
        <w:tc>
          <w:tcPr>
            <w:tcW w:w="667" w:type="pct"/>
            <w:noWrap/>
            <w:hideMark/>
          </w:tcPr>
          <w:p w14:paraId="6E5DC14E"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36</w:t>
            </w:r>
          </w:p>
        </w:tc>
        <w:tc>
          <w:tcPr>
            <w:tcW w:w="857" w:type="pct"/>
            <w:noWrap/>
            <w:hideMark/>
          </w:tcPr>
          <w:p w14:paraId="1DCDAE5F"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42</w:t>
            </w:r>
          </w:p>
        </w:tc>
        <w:tc>
          <w:tcPr>
            <w:tcW w:w="714" w:type="pct"/>
            <w:noWrap/>
            <w:hideMark/>
          </w:tcPr>
          <w:p w14:paraId="76A72EAD"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90</w:t>
            </w:r>
          </w:p>
        </w:tc>
        <w:tc>
          <w:tcPr>
            <w:tcW w:w="667" w:type="pct"/>
            <w:noWrap/>
            <w:hideMark/>
          </w:tcPr>
          <w:p w14:paraId="06B69D96"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43</w:t>
            </w:r>
          </w:p>
        </w:tc>
        <w:tc>
          <w:tcPr>
            <w:tcW w:w="761" w:type="pct"/>
            <w:noWrap/>
            <w:hideMark/>
          </w:tcPr>
          <w:p w14:paraId="26C824FD"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43</w:t>
            </w:r>
          </w:p>
        </w:tc>
      </w:tr>
      <w:tr w:rsidR="003E77F1" w:rsidRPr="003E77F1" w14:paraId="2F1CB9AC"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667" w:type="pct"/>
            <w:noWrap/>
            <w:hideMark/>
          </w:tcPr>
          <w:p w14:paraId="12A187D6" w14:textId="77777777" w:rsidR="003E77F1" w:rsidRPr="003E77F1" w:rsidRDefault="003E77F1" w:rsidP="00C213C3">
            <w:pPr>
              <w:rPr>
                <w:lang w:val="en-US"/>
              </w:rPr>
            </w:pPr>
            <w:r w:rsidRPr="003E77F1">
              <w:rPr>
                <w:lang w:val="en-US"/>
              </w:rPr>
              <w:t>W172303</w:t>
            </w:r>
          </w:p>
        </w:tc>
        <w:tc>
          <w:tcPr>
            <w:tcW w:w="667" w:type="pct"/>
            <w:noWrap/>
            <w:hideMark/>
          </w:tcPr>
          <w:p w14:paraId="59E4DDC7"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53</w:t>
            </w:r>
          </w:p>
        </w:tc>
        <w:tc>
          <w:tcPr>
            <w:tcW w:w="667" w:type="pct"/>
            <w:noWrap/>
            <w:hideMark/>
          </w:tcPr>
          <w:p w14:paraId="3C1D0E9C"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53</w:t>
            </w:r>
          </w:p>
        </w:tc>
        <w:tc>
          <w:tcPr>
            <w:tcW w:w="857" w:type="pct"/>
            <w:noWrap/>
            <w:hideMark/>
          </w:tcPr>
          <w:p w14:paraId="41C63F0E"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53</w:t>
            </w:r>
          </w:p>
        </w:tc>
        <w:tc>
          <w:tcPr>
            <w:tcW w:w="714" w:type="pct"/>
            <w:noWrap/>
            <w:hideMark/>
          </w:tcPr>
          <w:p w14:paraId="6D6DC164"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100</w:t>
            </w:r>
          </w:p>
        </w:tc>
        <w:tc>
          <w:tcPr>
            <w:tcW w:w="667" w:type="pct"/>
            <w:noWrap/>
            <w:hideMark/>
          </w:tcPr>
          <w:p w14:paraId="26A11A35"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54</w:t>
            </w:r>
          </w:p>
        </w:tc>
        <w:tc>
          <w:tcPr>
            <w:tcW w:w="761" w:type="pct"/>
            <w:noWrap/>
            <w:hideMark/>
          </w:tcPr>
          <w:p w14:paraId="0D7726EB"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54</w:t>
            </w:r>
          </w:p>
        </w:tc>
      </w:tr>
      <w:tr w:rsidR="003E77F1" w:rsidRPr="003E77F1" w14:paraId="6824B3E9"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667" w:type="pct"/>
            <w:noWrap/>
            <w:hideMark/>
          </w:tcPr>
          <w:p w14:paraId="7C0BCD14" w14:textId="77777777" w:rsidR="003E77F1" w:rsidRPr="003E77F1" w:rsidRDefault="003E77F1" w:rsidP="00C213C3">
            <w:pPr>
              <w:rPr>
                <w:lang w:val="en-US"/>
              </w:rPr>
            </w:pPr>
            <w:r w:rsidRPr="003E77F1">
              <w:rPr>
                <w:lang w:val="en-US"/>
              </w:rPr>
              <w:t>M171115</w:t>
            </w:r>
          </w:p>
        </w:tc>
        <w:tc>
          <w:tcPr>
            <w:tcW w:w="667" w:type="pct"/>
            <w:noWrap/>
            <w:hideMark/>
          </w:tcPr>
          <w:p w14:paraId="6BC7710C"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94</w:t>
            </w:r>
          </w:p>
        </w:tc>
        <w:tc>
          <w:tcPr>
            <w:tcW w:w="667" w:type="pct"/>
            <w:noWrap/>
            <w:hideMark/>
          </w:tcPr>
          <w:p w14:paraId="5D48D211"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94</w:t>
            </w:r>
          </w:p>
        </w:tc>
        <w:tc>
          <w:tcPr>
            <w:tcW w:w="857" w:type="pct"/>
            <w:noWrap/>
            <w:hideMark/>
          </w:tcPr>
          <w:p w14:paraId="4DAFC7FE"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97</w:t>
            </w:r>
          </w:p>
        </w:tc>
        <w:tc>
          <w:tcPr>
            <w:tcW w:w="714" w:type="pct"/>
            <w:noWrap/>
            <w:hideMark/>
          </w:tcPr>
          <w:p w14:paraId="6B9831BD"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90</w:t>
            </w:r>
          </w:p>
        </w:tc>
        <w:tc>
          <w:tcPr>
            <w:tcW w:w="667" w:type="pct"/>
            <w:noWrap/>
            <w:hideMark/>
          </w:tcPr>
          <w:p w14:paraId="48B91107"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98</w:t>
            </w:r>
          </w:p>
        </w:tc>
        <w:tc>
          <w:tcPr>
            <w:tcW w:w="761" w:type="pct"/>
            <w:noWrap/>
            <w:hideMark/>
          </w:tcPr>
          <w:p w14:paraId="7ECF0CA3"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98</w:t>
            </w:r>
          </w:p>
        </w:tc>
      </w:tr>
      <w:tr w:rsidR="003E77F1" w:rsidRPr="003E77F1" w14:paraId="09AFA991"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667" w:type="pct"/>
            <w:noWrap/>
            <w:hideMark/>
          </w:tcPr>
          <w:p w14:paraId="6316E4A8" w14:textId="77777777" w:rsidR="003E77F1" w:rsidRPr="003E77F1" w:rsidRDefault="003E77F1" w:rsidP="00C213C3">
            <w:pPr>
              <w:rPr>
                <w:lang w:val="en-US"/>
              </w:rPr>
            </w:pPr>
            <w:r w:rsidRPr="003E77F1">
              <w:rPr>
                <w:lang w:val="en-US"/>
              </w:rPr>
              <w:t>M172303</w:t>
            </w:r>
          </w:p>
        </w:tc>
        <w:tc>
          <w:tcPr>
            <w:tcW w:w="667" w:type="pct"/>
            <w:noWrap/>
            <w:hideMark/>
          </w:tcPr>
          <w:p w14:paraId="004EFA45"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98</w:t>
            </w:r>
          </w:p>
        </w:tc>
        <w:tc>
          <w:tcPr>
            <w:tcW w:w="667" w:type="pct"/>
            <w:noWrap/>
            <w:hideMark/>
          </w:tcPr>
          <w:p w14:paraId="70E3D87E"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99</w:t>
            </w:r>
          </w:p>
        </w:tc>
        <w:tc>
          <w:tcPr>
            <w:tcW w:w="857" w:type="pct"/>
            <w:noWrap/>
            <w:hideMark/>
          </w:tcPr>
          <w:p w14:paraId="6FF55927"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100</w:t>
            </w:r>
          </w:p>
        </w:tc>
        <w:tc>
          <w:tcPr>
            <w:tcW w:w="714" w:type="pct"/>
            <w:noWrap/>
            <w:hideMark/>
          </w:tcPr>
          <w:p w14:paraId="326A0D4D"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75</w:t>
            </w:r>
          </w:p>
        </w:tc>
        <w:tc>
          <w:tcPr>
            <w:tcW w:w="667" w:type="pct"/>
            <w:noWrap/>
            <w:hideMark/>
          </w:tcPr>
          <w:p w14:paraId="298D1E9D"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100</w:t>
            </w:r>
          </w:p>
        </w:tc>
        <w:tc>
          <w:tcPr>
            <w:tcW w:w="761" w:type="pct"/>
            <w:noWrap/>
            <w:hideMark/>
          </w:tcPr>
          <w:p w14:paraId="25DC2622"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100</w:t>
            </w:r>
          </w:p>
        </w:tc>
      </w:tr>
      <w:tr w:rsidR="003E77F1" w:rsidRPr="003E77F1" w14:paraId="5F6F9308"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667" w:type="pct"/>
            <w:noWrap/>
            <w:hideMark/>
          </w:tcPr>
          <w:p w14:paraId="3308D088" w14:textId="77777777" w:rsidR="003E77F1" w:rsidRPr="003E77F1" w:rsidRDefault="003E77F1" w:rsidP="00C213C3">
            <w:pPr>
              <w:rPr>
                <w:lang w:val="en-US"/>
              </w:rPr>
            </w:pPr>
            <w:r w:rsidRPr="003E77F1">
              <w:rPr>
                <w:lang w:val="en-US"/>
              </w:rPr>
              <w:t>M17</w:t>
            </w:r>
          </w:p>
        </w:tc>
        <w:tc>
          <w:tcPr>
            <w:tcW w:w="667" w:type="pct"/>
            <w:noWrap/>
            <w:hideMark/>
          </w:tcPr>
          <w:p w14:paraId="7434B55D"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296</w:t>
            </w:r>
          </w:p>
        </w:tc>
        <w:tc>
          <w:tcPr>
            <w:tcW w:w="667" w:type="pct"/>
            <w:noWrap/>
            <w:hideMark/>
          </w:tcPr>
          <w:p w14:paraId="251EA753"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296</w:t>
            </w:r>
          </w:p>
        </w:tc>
        <w:tc>
          <w:tcPr>
            <w:tcW w:w="857" w:type="pct"/>
            <w:noWrap/>
            <w:hideMark/>
          </w:tcPr>
          <w:p w14:paraId="2405DC6B"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309</w:t>
            </w:r>
          </w:p>
        </w:tc>
        <w:tc>
          <w:tcPr>
            <w:tcW w:w="714" w:type="pct"/>
            <w:noWrap/>
            <w:hideMark/>
          </w:tcPr>
          <w:p w14:paraId="0FE5B05E"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75</w:t>
            </w:r>
          </w:p>
        </w:tc>
        <w:tc>
          <w:tcPr>
            <w:tcW w:w="667" w:type="pct"/>
            <w:noWrap/>
            <w:hideMark/>
          </w:tcPr>
          <w:p w14:paraId="79ABC22A"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310</w:t>
            </w:r>
          </w:p>
        </w:tc>
        <w:tc>
          <w:tcPr>
            <w:tcW w:w="761" w:type="pct"/>
            <w:noWrap/>
            <w:hideMark/>
          </w:tcPr>
          <w:p w14:paraId="4D44B20E"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310</w:t>
            </w:r>
          </w:p>
        </w:tc>
      </w:tr>
      <w:tr w:rsidR="003E77F1" w:rsidRPr="003E77F1" w14:paraId="5122F029" w14:textId="77777777" w:rsidTr="003E77F1">
        <w:trPr>
          <w:trHeight w:val="20"/>
        </w:trPr>
        <w:tc>
          <w:tcPr>
            <w:cnfStyle w:val="001000000000" w:firstRow="0" w:lastRow="0" w:firstColumn="1" w:lastColumn="0" w:oddVBand="0" w:evenVBand="0" w:oddHBand="0" w:evenHBand="0" w:firstRowFirstColumn="0" w:firstRowLastColumn="0" w:lastRowFirstColumn="0" w:lastRowLastColumn="0"/>
            <w:tcW w:w="667" w:type="pct"/>
            <w:noWrap/>
            <w:hideMark/>
          </w:tcPr>
          <w:p w14:paraId="566892D7" w14:textId="77777777" w:rsidR="003E77F1" w:rsidRPr="003E77F1" w:rsidRDefault="003E77F1" w:rsidP="00C213C3">
            <w:pPr>
              <w:rPr>
                <w:lang w:val="en-US"/>
              </w:rPr>
            </w:pPr>
            <w:r w:rsidRPr="003E77F1">
              <w:rPr>
                <w:lang w:val="en-US"/>
              </w:rPr>
              <w:t>W17</w:t>
            </w:r>
          </w:p>
        </w:tc>
        <w:tc>
          <w:tcPr>
            <w:tcW w:w="667" w:type="pct"/>
            <w:noWrap/>
            <w:hideMark/>
          </w:tcPr>
          <w:p w14:paraId="04D62264"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160</w:t>
            </w:r>
          </w:p>
        </w:tc>
        <w:tc>
          <w:tcPr>
            <w:tcW w:w="667" w:type="pct"/>
            <w:noWrap/>
            <w:hideMark/>
          </w:tcPr>
          <w:p w14:paraId="25F21977"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160</w:t>
            </w:r>
          </w:p>
        </w:tc>
        <w:tc>
          <w:tcPr>
            <w:tcW w:w="857" w:type="pct"/>
            <w:noWrap/>
            <w:hideMark/>
          </w:tcPr>
          <w:p w14:paraId="53C7BA7A"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161</w:t>
            </w:r>
          </w:p>
        </w:tc>
        <w:tc>
          <w:tcPr>
            <w:tcW w:w="714" w:type="pct"/>
            <w:noWrap/>
            <w:hideMark/>
          </w:tcPr>
          <w:p w14:paraId="3049C8C4"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90</w:t>
            </w:r>
          </w:p>
        </w:tc>
        <w:tc>
          <w:tcPr>
            <w:tcW w:w="667" w:type="pct"/>
            <w:noWrap/>
            <w:hideMark/>
          </w:tcPr>
          <w:p w14:paraId="19A7D701"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162</w:t>
            </w:r>
          </w:p>
        </w:tc>
        <w:tc>
          <w:tcPr>
            <w:tcW w:w="761" w:type="pct"/>
            <w:noWrap/>
            <w:hideMark/>
          </w:tcPr>
          <w:p w14:paraId="56F005FF" w14:textId="77777777" w:rsidR="003E77F1" w:rsidRPr="003E77F1" w:rsidRDefault="003E77F1" w:rsidP="00C213C3">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162</w:t>
            </w:r>
          </w:p>
        </w:tc>
      </w:tr>
    </w:tbl>
    <w:p w14:paraId="6A590C21" w14:textId="77777777" w:rsidR="003E77F1" w:rsidRDefault="003E77F1" w:rsidP="003E77F1">
      <w:pPr>
        <w:overflowPunct w:val="0"/>
        <w:autoSpaceDE w:val="0"/>
        <w:autoSpaceDN w:val="0"/>
        <w:adjustRightInd w:val="0"/>
        <w:spacing w:line="240" w:lineRule="auto"/>
        <w:textAlignment w:val="baseline"/>
        <w:rPr>
          <w:rFonts w:ascii="Calibri Light" w:hAnsi="Calibri Light"/>
          <w:sz w:val="24"/>
          <w:szCs w:val="20"/>
        </w:rPr>
      </w:pPr>
    </w:p>
    <w:p w14:paraId="6285D558" w14:textId="77777777" w:rsidR="003E77F1" w:rsidRPr="003E77F1" w:rsidRDefault="003E77F1" w:rsidP="003E77F1">
      <w:pPr>
        <w:pStyle w:val="Caption"/>
        <w:rPr>
          <w:lang w:val="en-US"/>
        </w:rPr>
      </w:pPr>
      <w:bookmarkStart w:id="9" w:name="_Toc64291823"/>
      <w:r w:rsidRPr="003E77F1">
        <w:rPr>
          <w:lang w:val="en-US"/>
        </w:rPr>
        <w:t>Table S6 Steps for solution identification for specific EPA PMF runs</w:t>
      </w:r>
      <w:bookmarkEnd w:id="9"/>
    </w:p>
    <w:tbl>
      <w:tblPr>
        <w:tblStyle w:val="Copernicus"/>
        <w:tblW w:w="5000" w:type="pct"/>
        <w:tblLook w:val="04A0" w:firstRow="1" w:lastRow="0" w:firstColumn="1" w:lastColumn="0" w:noHBand="0" w:noVBand="1"/>
      </w:tblPr>
      <w:tblGrid>
        <w:gridCol w:w="1357"/>
        <w:gridCol w:w="8668"/>
      </w:tblGrid>
      <w:tr w:rsidR="003E77F1" w:rsidRPr="003E77F1" w14:paraId="286FFBBD" w14:textId="77777777" w:rsidTr="00FC47C6">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77" w:type="pct"/>
            <w:hideMark/>
          </w:tcPr>
          <w:p w14:paraId="435682B6" w14:textId="77777777" w:rsidR="003E77F1" w:rsidRPr="003E77F1" w:rsidRDefault="003E77F1" w:rsidP="009A5554">
            <w:pPr>
              <w:rPr>
                <w:lang w:val="en-US"/>
              </w:rPr>
            </w:pPr>
            <w:r w:rsidRPr="003E77F1">
              <w:rPr>
                <w:lang w:val="en-US"/>
              </w:rPr>
              <w:t>Period</w:t>
            </w:r>
          </w:p>
        </w:tc>
        <w:tc>
          <w:tcPr>
            <w:tcW w:w="4323" w:type="pct"/>
            <w:hideMark/>
          </w:tcPr>
          <w:p w14:paraId="68E15B14" w14:textId="77777777" w:rsidR="003E77F1" w:rsidRPr="003E77F1" w:rsidRDefault="003E77F1" w:rsidP="009A5554">
            <w:pPr>
              <w:cnfStyle w:val="100000000000" w:firstRow="1" w:lastRow="0" w:firstColumn="0" w:lastColumn="0" w:oddVBand="0" w:evenVBand="0" w:oddHBand="0" w:evenHBand="0" w:firstRowFirstColumn="0" w:firstRowLastColumn="0" w:lastRowFirstColumn="0" w:lastRowLastColumn="0"/>
              <w:rPr>
                <w:i/>
                <w:iCs/>
                <w:lang w:val="en-US"/>
              </w:rPr>
            </w:pPr>
            <w:r w:rsidRPr="003E77F1">
              <w:rPr>
                <w:lang w:val="en-US"/>
              </w:rPr>
              <w:t>Solution Identification</w:t>
            </w:r>
          </w:p>
        </w:tc>
      </w:tr>
      <w:tr w:rsidR="003E77F1" w:rsidRPr="003E77F1" w14:paraId="000CF155"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677" w:type="pct"/>
            <w:hideMark/>
          </w:tcPr>
          <w:p w14:paraId="6B194398" w14:textId="77777777" w:rsidR="003E77F1" w:rsidRPr="003E77F1" w:rsidRDefault="003E77F1" w:rsidP="009A5554">
            <w:pPr>
              <w:rPr>
                <w:lang w:val="en-US"/>
              </w:rPr>
            </w:pPr>
            <w:r w:rsidRPr="003E77F1">
              <w:rPr>
                <w:lang w:val="en-US"/>
              </w:rPr>
              <w:t>W171115</w:t>
            </w:r>
          </w:p>
        </w:tc>
        <w:tc>
          <w:tcPr>
            <w:tcW w:w="4323" w:type="pct"/>
            <w:hideMark/>
          </w:tcPr>
          <w:p w14:paraId="4343186D" w14:textId="6D279042" w:rsidR="003E77F1" w:rsidRPr="003E77F1" w:rsidRDefault="003E77F1" w:rsidP="009A5554">
            <w:pPr>
              <w:cnfStyle w:val="000000000000" w:firstRow="0" w:lastRow="0" w:firstColumn="0" w:lastColumn="0" w:oddVBand="0" w:evenVBand="0" w:oddHBand="0" w:evenHBand="0" w:firstRowFirstColumn="0" w:firstRowLastColumn="0" w:lastRowFirstColumn="0" w:lastRowLastColumn="0"/>
              <w:rPr>
                <w:lang w:val="en-US"/>
              </w:rPr>
            </w:pPr>
            <w:r w:rsidRPr="003E77F1">
              <w:rPr>
                <w:lang w:val="en-US"/>
              </w:rPr>
              <w:t xml:space="preserve">Residual analysis suggested 4–6 factor solutions. Factor swaps occurring in 5 and 6 factor solutions. Application of constraints at 5 and 6 factor solutions resulted in unreasonable MS or weak time series correlations. Base 4 factor solution fails BS test. Rotating the solution to FPEAK of 1 led to BS test resolution. </w:t>
            </w:r>
          </w:p>
        </w:tc>
      </w:tr>
      <w:tr w:rsidR="009A5554" w:rsidRPr="003E77F1" w14:paraId="6A4D702F"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677" w:type="pct"/>
            <w:vAlign w:val="top"/>
          </w:tcPr>
          <w:p w14:paraId="50A73A5A" w14:textId="2A397A49" w:rsidR="009A5554" w:rsidRPr="003E77F1" w:rsidRDefault="009A5554" w:rsidP="009A5554">
            <w:pPr>
              <w:rPr>
                <w:lang w:val="en-US"/>
              </w:rPr>
            </w:pPr>
            <w:r>
              <w:t>W172303</w:t>
            </w:r>
          </w:p>
        </w:tc>
        <w:tc>
          <w:tcPr>
            <w:tcW w:w="4323" w:type="pct"/>
            <w:vAlign w:val="top"/>
          </w:tcPr>
          <w:p w14:paraId="3A765FFE" w14:textId="7A14FA6A" w:rsidR="009A5554" w:rsidRPr="003E77F1" w:rsidRDefault="009A5554" w:rsidP="009A5554">
            <w:pPr>
              <w:cnfStyle w:val="000000000000" w:firstRow="0" w:lastRow="0" w:firstColumn="0" w:lastColumn="0" w:oddVBand="0" w:evenVBand="0" w:oddHBand="0" w:evenHBand="0" w:firstRowFirstColumn="0" w:firstRowLastColumn="0" w:lastRowFirstColumn="0" w:lastRowLastColumn="0"/>
              <w:rPr>
                <w:lang w:val="en-US"/>
              </w:rPr>
            </w:pPr>
            <w:r>
              <w:t>Residual analysis suggested 6–8 factor solutions. Attempted rotations and constraints for solutions with 6 or more factors but failed BS and DISP repeatedly. Base runs of 5 factor solutions fail DISP and show factor swaps at two or more factors, despite the application of rotations and constraints. Base runs of 4 factor solution fail BS at a semi-volatile oxidized OA factor, that shows mixing with HOA and BBOA factors. Constraining primary factors did not solve the problem. Rotations of the 4 factor solution allowed passing of the BS test but failed DISP. Finally, constraints based on the SVOOA reference profile were applied on the semi-volatile oxidized OA factor. Application of these constraints led to passing of all three tests.</w:t>
            </w:r>
          </w:p>
        </w:tc>
      </w:tr>
      <w:tr w:rsidR="009A5554" w:rsidRPr="003E77F1" w14:paraId="1740C8E7"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677" w:type="pct"/>
            <w:vAlign w:val="top"/>
          </w:tcPr>
          <w:p w14:paraId="5A51C7DE" w14:textId="11D7A1AE" w:rsidR="009A5554" w:rsidRPr="003E77F1" w:rsidRDefault="009A5554" w:rsidP="009A5554">
            <w:pPr>
              <w:rPr>
                <w:lang w:val="en-US"/>
              </w:rPr>
            </w:pPr>
            <w:r>
              <w:t>W17</w:t>
            </w:r>
          </w:p>
        </w:tc>
        <w:tc>
          <w:tcPr>
            <w:tcW w:w="4323" w:type="pct"/>
            <w:vAlign w:val="top"/>
          </w:tcPr>
          <w:p w14:paraId="0E6D6ED0" w14:textId="18625CB7" w:rsidR="009A5554" w:rsidRPr="003E77F1" w:rsidRDefault="009A5554" w:rsidP="009A5554">
            <w:pPr>
              <w:cnfStyle w:val="000000000000" w:firstRow="0" w:lastRow="0" w:firstColumn="0" w:lastColumn="0" w:oddVBand="0" w:evenVBand="0" w:oddHBand="0" w:evenHBand="0" w:firstRowFirstColumn="0" w:firstRowLastColumn="0" w:lastRowFirstColumn="0" w:lastRowLastColumn="0"/>
              <w:rPr>
                <w:lang w:val="en-US"/>
              </w:rPr>
            </w:pPr>
            <w:r>
              <w:t xml:space="preserve">Residual analysis suggested 4–6 factor solutions. 5 and 6 factor solutions resulted in unreasonable MS or weak time series correlations. 4 factor solution fails BS-DISP test and shows factor swaps of BBOA, HOA, and local OOA factors. Constraining BBOA led to BS-DISP test resolution as well as improves BS mapping.    </w:t>
            </w:r>
          </w:p>
        </w:tc>
      </w:tr>
      <w:tr w:rsidR="009A5554" w:rsidRPr="003E77F1" w14:paraId="61505D33"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677" w:type="pct"/>
            <w:vAlign w:val="top"/>
          </w:tcPr>
          <w:p w14:paraId="1670F816" w14:textId="108B9D6B" w:rsidR="009A5554" w:rsidRPr="003E77F1" w:rsidRDefault="009A5554" w:rsidP="009A5554">
            <w:pPr>
              <w:rPr>
                <w:lang w:val="en-US"/>
              </w:rPr>
            </w:pPr>
            <w:r>
              <w:t>M171115</w:t>
            </w:r>
          </w:p>
        </w:tc>
        <w:tc>
          <w:tcPr>
            <w:tcW w:w="4323" w:type="pct"/>
            <w:vAlign w:val="top"/>
          </w:tcPr>
          <w:p w14:paraId="06EA306C" w14:textId="5722C98B" w:rsidR="009A5554" w:rsidRPr="003E77F1" w:rsidRDefault="009A5554" w:rsidP="009A5554">
            <w:pPr>
              <w:cnfStyle w:val="000000000000" w:firstRow="0" w:lastRow="0" w:firstColumn="0" w:lastColumn="0" w:oddVBand="0" w:evenVBand="0" w:oddHBand="0" w:evenHBand="0" w:firstRowFirstColumn="0" w:firstRowLastColumn="0" w:lastRowFirstColumn="0" w:lastRowLastColumn="0"/>
              <w:rPr>
                <w:lang w:val="en-US"/>
              </w:rPr>
            </w:pPr>
            <w:r>
              <w:t>Residual analysis suggested 3–5 factor solutions. 4 and 5 factor solution resulted in unreasonable MS or weak time series correlations. 3 factor solution base run passes all tests.</w:t>
            </w:r>
          </w:p>
        </w:tc>
      </w:tr>
      <w:tr w:rsidR="009A5554" w:rsidRPr="003E77F1" w14:paraId="510C4266"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677" w:type="pct"/>
            <w:vAlign w:val="top"/>
          </w:tcPr>
          <w:p w14:paraId="591CD0F7" w14:textId="6C9AB1C2" w:rsidR="009A5554" w:rsidRPr="003E77F1" w:rsidRDefault="009A5554" w:rsidP="009A5554">
            <w:pPr>
              <w:rPr>
                <w:lang w:val="en-US"/>
              </w:rPr>
            </w:pPr>
            <w:r>
              <w:t>M172303</w:t>
            </w:r>
          </w:p>
        </w:tc>
        <w:tc>
          <w:tcPr>
            <w:tcW w:w="4323" w:type="pct"/>
            <w:vAlign w:val="top"/>
          </w:tcPr>
          <w:p w14:paraId="418972F7" w14:textId="05A25EA2" w:rsidR="009A5554" w:rsidRPr="003E77F1" w:rsidRDefault="009A5554" w:rsidP="009A5554">
            <w:pPr>
              <w:cnfStyle w:val="000000000000" w:firstRow="0" w:lastRow="0" w:firstColumn="0" w:lastColumn="0" w:oddVBand="0" w:evenVBand="0" w:oddHBand="0" w:evenHBand="0" w:firstRowFirstColumn="0" w:firstRowLastColumn="0" w:lastRowFirstColumn="0" w:lastRowLastColumn="0"/>
              <w:rPr>
                <w:lang w:val="en-US"/>
              </w:rPr>
            </w:pPr>
            <w:r>
              <w:t xml:space="preserve">Residual analysis suggested 3–5 factor solutions. 5 factor solutions resulted in two factors with no time series correlations. 4 factor solution passes DISP and BS-DISP tests but fails BS test. Rotating solution to FPEAK 15 led to the necessary improvement in BS mapping.    </w:t>
            </w:r>
          </w:p>
        </w:tc>
      </w:tr>
      <w:tr w:rsidR="009A5554" w:rsidRPr="003E77F1" w14:paraId="1DF566C7"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677" w:type="pct"/>
            <w:vAlign w:val="top"/>
          </w:tcPr>
          <w:p w14:paraId="75191375" w14:textId="13974044" w:rsidR="009A5554" w:rsidRPr="003E77F1" w:rsidRDefault="009A5554" w:rsidP="009A5554">
            <w:pPr>
              <w:rPr>
                <w:lang w:val="en-US"/>
              </w:rPr>
            </w:pPr>
            <w:r>
              <w:t>M17</w:t>
            </w:r>
          </w:p>
        </w:tc>
        <w:tc>
          <w:tcPr>
            <w:tcW w:w="4323" w:type="pct"/>
            <w:vAlign w:val="top"/>
          </w:tcPr>
          <w:p w14:paraId="5E0C6E6E" w14:textId="391D12D0" w:rsidR="009A5554" w:rsidRPr="003E77F1" w:rsidRDefault="009A5554" w:rsidP="009A5554">
            <w:pPr>
              <w:cnfStyle w:val="000000000000" w:firstRow="0" w:lastRow="0" w:firstColumn="0" w:lastColumn="0" w:oddVBand="0" w:evenVBand="0" w:oddHBand="0" w:evenHBand="0" w:firstRowFirstColumn="0" w:firstRowLastColumn="0" w:lastRowFirstColumn="0" w:lastRowLastColumn="0"/>
              <w:rPr>
                <w:lang w:val="en-US"/>
              </w:rPr>
            </w:pPr>
            <w:r>
              <w:t>Residual analysis suggested 3–5 factor solutions. Solutions 4 factors and above gave identical TS correlations at multiple factors.</w:t>
            </w:r>
          </w:p>
        </w:tc>
      </w:tr>
    </w:tbl>
    <w:p w14:paraId="398F132D" w14:textId="2B679240" w:rsidR="003E77F1" w:rsidRDefault="003E77F1" w:rsidP="00B4015F">
      <w:pPr>
        <w:rPr>
          <w:b/>
        </w:rPr>
      </w:pPr>
    </w:p>
    <w:p w14:paraId="3CF5BFCC" w14:textId="77777777" w:rsidR="00C213C3" w:rsidRPr="00C213C3" w:rsidRDefault="00C213C3" w:rsidP="00C213C3">
      <w:pPr>
        <w:pStyle w:val="Caption"/>
        <w:rPr>
          <w:lang w:val="en-US"/>
        </w:rPr>
      </w:pPr>
      <w:bookmarkStart w:id="10" w:name="_Toc64291824"/>
      <w:r w:rsidRPr="00C213C3">
        <w:rPr>
          <w:lang w:val="en-US"/>
        </w:rPr>
        <w:t>Table S7 Details of number of factors, seed, constraints, rotations applied in EPA PMF</w:t>
      </w:r>
      <w:bookmarkEnd w:id="10"/>
    </w:p>
    <w:tbl>
      <w:tblPr>
        <w:tblStyle w:val="Copernicus"/>
        <w:tblW w:w="5000" w:type="pct"/>
        <w:tblLook w:val="04A0" w:firstRow="1" w:lastRow="0" w:firstColumn="1" w:lastColumn="0" w:noHBand="0" w:noVBand="1"/>
      </w:tblPr>
      <w:tblGrid>
        <w:gridCol w:w="1548"/>
        <w:gridCol w:w="8477"/>
      </w:tblGrid>
      <w:tr w:rsidR="00C213C3" w:rsidRPr="00C213C3" w14:paraId="499ABEAD" w14:textId="77777777" w:rsidTr="00FC47C6">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72" w:type="pct"/>
            <w:hideMark/>
          </w:tcPr>
          <w:p w14:paraId="3ACBC13D" w14:textId="77777777" w:rsidR="00C213C3" w:rsidRPr="00C213C3" w:rsidRDefault="00C213C3" w:rsidP="00C213C3">
            <w:pPr>
              <w:rPr>
                <w:lang w:val="en-US"/>
              </w:rPr>
            </w:pPr>
            <w:r w:rsidRPr="00C213C3">
              <w:rPr>
                <w:lang w:val="en-US"/>
              </w:rPr>
              <w:t>Period</w:t>
            </w:r>
          </w:p>
        </w:tc>
        <w:tc>
          <w:tcPr>
            <w:tcW w:w="4228" w:type="pct"/>
            <w:hideMark/>
          </w:tcPr>
          <w:p w14:paraId="35C1099E" w14:textId="77777777" w:rsidR="00C213C3" w:rsidRPr="00C213C3" w:rsidRDefault="00C213C3" w:rsidP="00C213C3">
            <w:pPr>
              <w:cnfStyle w:val="100000000000" w:firstRow="1" w:lastRow="0" w:firstColumn="0" w:lastColumn="0" w:oddVBand="0" w:evenVBand="0" w:oddHBand="0" w:evenHBand="0" w:firstRowFirstColumn="0" w:firstRowLastColumn="0" w:lastRowFirstColumn="0" w:lastRowLastColumn="0"/>
              <w:rPr>
                <w:i/>
                <w:iCs/>
                <w:lang w:val="en-US"/>
              </w:rPr>
            </w:pPr>
            <w:r w:rsidRPr="00C213C3">
              <w:rPr>
                <w:lang w:val="en-US"/>
              </w:rPr>
              <w:t>Solution Identification</w:t>
            </w:r>
          </w:p>
        </w:tc>
      </w:tr>
      <w:tr w:rsidR="00C213C3" w:rsidRPr="00C213C3" w14:paraId="13152C18"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772" w:type="pct"/>
            <w:hideMark/>
          </w:tcPr>
          <w:p w14:paraId="5091C93D" w14:textId="77777777" w:rsidR="00C213C3" w:rsidRPr="00C213C3" w:rsidRDefault="00C213C3" w:rsidP="00C213C3">
            <w:pPr>
              <w:rPr>
                <w:lang w:val="en-US"/>
              </w:rPr>
            </w:pPr>
            <w:r w:rsidRPr="00C213C3">
              <w:rPr>
                <w:lang w:val="en-US"/>
              </w:rPr>
              <w:t>W171115</w:t>
            </w:r>
          </w:p>
        </w:tc>
        <w:tc>
          <w:tcPr>
            <w:tcW w:w="4228" w:type="pct"/>
            <w:hideMark/>
          </w:tcPr>
          <w:p w14:paraId="03E21390" w14:textId="77777777" w:rsidR="00C213C3" w:rsidRPr="00C213C3" w:rsidRDefault="00C213C3" w:rsidP="00C213C3">
            <w:pPr>
              <w:cnfStyle w:val="000000000000" w:firstRow="0" w:lastRow="0" w:firstColumn="0" w:lastColumn="0" w:oddVBand="0" w:evenVBand="0" w:oddHBand="0" w:evenHBand="0" w:firstRowFirstColumn="0" w:firstRowLastColumn="0" w:lastRowFirstColumn="0" w:lastRowLastColumn="0"/>
              <w:rPr>
                <w:lang w:val="en-US"/>
              </w:rPr>
            </w:pPr>
            <w:r w:rsidRPr="00C213C3">
              <w:rPr>
                <w:lang w:val="en-US"/>
              </w:rPr>
              <w:t>4 factor solution at seed 83 was rotated to FPEAK 1</w:t>
            </w:r>
          </w:p>
        </w:tc>
      </w:tr>
      <w:tr w:rsidR="00C213C3" w:rsidRPr="00C213C3" w14:paraId="7A147E53"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772" w:type="pct"/>
            <w:hideMark/>
          </w:tcPr>
          <w:p w14:paraId="2E4951B6" w14:textId="77777777" w:rsidR="00C213C3" w:rsidRPr="00C213C3" w:rsidRDefault="00C213C3" w:rsidP="00C213C3">
            <w:pPr>
              <w:rPr>
                <w:lang w:val="en-US"/>
              </w:rPr>
            </w:pPr>
            <w:r w:rsidRPr="00C213C3">
              <w:rPr>
                <w:lang w:val="en-US"/>
              </w:rPr>
              <w:t>W172303</w:t>
            </w:r>
          </w:p>
        </w:tc>
        <w:tc>
          <w:tcPr>
            <w:tcW w:w="4228" w:type="pct"/>
            <w:hideMark/>
          </w:tcPr>
          <w:p w14:paraId="53E7AE3F" w14:textId="54253F98" w:rsidR="00C213C3" w:rsidRPr="00C213C3" w:rsidRDefault="00C213C3" w:rsidP="00C213C3">
            <w:pPr>
              <w:cnfStyle w:val="000000000000" w:firstRow="0" w:lastRow="0" w:firstColumn="0" w:lastColumn="0" w:oddVBand="0" w:evenVBand="0" w:oddHBand="0" w:evenHBand="0" w:firstRowFirstColumn="0" w:firstRowLastColumn="0" w:lastRowFirstColumn="0" w:lastRowLastColumn="0"/>
              <w:rPr>
                <w:lang w:val="en-US"/>
              </w:rPr>
            </w:pPr>
            <w:r w:rsidRPr="00C213C3">
              <w:rPr>
                <w:lang w:val="en-US"/>
              </w:rPr>
              <w:t>4 factor solution at seed 6 was constrained with SVOOA presence at factor 3</w:t>
            </w:r>
          </w:p>
        </w:tc>
      </w:tr>
      <w:tr w:rsidR="00C213C3" w:rsidRPr="00C213C3" w14:paraId="77910464"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772" w:type="pct"/>
            <w:hideMark/>
          </w:tcPr>
          <w:p w14:paraId="7F3F3561" w14:textId="77777777" w:rsidR="00C213C3" w:rsidRPr="00C213C3" w:rsidRDefault="00C213C3" w:rsidP="00C213C3">
            <w:pPr>
              <w:rPr>
                <w:lang w:val="en-US"/>
              </w:rPr>
            </w:pPr>
            <w:r w:rsidRPr="00C213C3">
              <w:rPr>
                <w:lang w:val="en-US"/>
              </w:rPr>
              <w:t>W17</w:t>
            </w:r>
          </w:p>
        </w:tc>
        <w:tc>
          <w:tcPr>
            <w:tcW w:w="4228" w:type="pct"/>
            <w:hideMark/>
          </w:tcPr>
          <w:p w14:paraId="24EEC890" w14:textId="1DC4AD3E" w:rsidR="00C213C3" w:rsidRPr="00C213C3" w:rsidRDefault="00C213C3" w:rsidP="00C213C3">
            <w:pPr>
              <w:cnfStyle w:val="000000000000" w:firstRow="0" w:lastRow="0" w:firstColumn="0" w:lastColumn="0" w:oddVBand="0" w:evenVBand="0" w:oddHBand="0" w:evenHBand="0" w:firstRowFirstColumn="0" w:firstRowLastColumn="0" w:lastRowFirstColumn="0" w:lastRowLastColumn="0"/>
              <w:rPr>
                <w:lang w:val="en-US"/>
              </w:rPr>
            </w:pPr>
            <w:r w:rsidRPr="00C213C3">
              <w:rPr>
                <w:lang w:val="en-US"/>
              </w:rPr>
              <w:t>4 factor solution at seed 5 was constrained with BBOA presence at factor 1</w:t>
            </w:r>
          </w:p>
        </w:tc>
      </w:tr>
      <w:tr w:rsidR="00C213C3" w:rsidRPr="00C213C3" w14:paraId="0DD2C22E"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772" w:type="pct"/>
            <w:hideMark/>
          </w:tcPr>
          <w:p w14:paraId="1162667E" w14:textId="77777777" w:rsidR="00C213C3" w:rsidRPr="00C213C3" w:rsidRDefault="00C213C3" w:rsidP="00C213C3">
            <w:pPr>
              <w:rPr>
                <w:lang w:val="en-US"/>
              </w:rPr>
            </w:pPr>
            <w:r w:rsidRPr="00C213C3">
              <w:rPr>
                <w:lang w:val="en-US"/>
              </w:rPr>
              <w:t>M171115</w:t>
            </w:r>
          </w:p>
        </w:tc>
        <w:tc>
          <w:tcPr>
            <w:tcW w:w="4228" w:type="pct"/>
            <w:hideMark/>
          </w:tcPr>
          <w:p w14:paraId="0702B47D" w14:textId="77777777" w:rsidR="00C213C3" w:rsidRPr="00C213C3" w:rsidRDefault="00C213C3" w:rsidP="00C213C3">
            <w:pPr>
              <w:cnfStyle w:val="000000000000" w:firstRow="0" w:lastRow="0" w:firstColumn="0" w:lastColumn="0" w:oddVBand="0" w:evenVBand="0" w:oddHBand="0" w:evenHBand="0" w:firstRowFirstColumn="0" w:firstRowLastColumn="0" w:lastRowFirstColumn="0" w:lastRowLastColumn="0"/>
              <w:rPr>
                <w:lang w:val="en-US"/>
              </w:rPr>
            </w:pPr>
            <w:r w:rsidRPr="00C213C3">
              <w:rPr>
                <w:lang w:val="en-US"/>
              </w:rPr>
              <w:t>3 factor solution at seed 76 with no constraints or rotations applied</w:t>
            </w:r>
          </w:p>
        </w:tc>
      </w:tr>
      <w:tr w:rsidR="00C213C3" w:rsidRPr="00C213C3" w14:paraId="65ABD4D1"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772" w:type="pct"/>
            <w:hideMark/>
          </w:tcPr>
          <w:p w14:paraId="69701CF9" w14:textId="77777777" w:rsidR="00C213C3" w:rsidRPr="00C213C3" w:rsidRDefault="00C213C3" w:rsidP="00C213C3">
            <w:pPr>
              <w:rPr>
                <w:lang w:val="en-US"/>
              </w:rPr>
            </w:pPr>
            <w:r w:rsidRPr="00C213C3">
              <w:rPr>
                <w:lang w:val="en-US"/>
              </w:rPr>
              <w:t>M172303</w:t>
            </w:r>
          </w:p>
        </w:tc>
        <w:tc>
          <w:tcPr>
            <w:tcW w:w="4228" w:type="pct"/>
            <w:hideMark/>
          </w:tcPr>
          <w:p w14:paraId="0D147A7D" w14:textId="77777777" w:rsidR="00C213C3" w:rsidRPr="00C213C3" w:rsidRDefault="00C213C3" w:rsidP="00C213C3">
            <w:pPr>
              <w:cnfStyle w:val="000000000000" w:firstRow="0" w:lastRow="0" w:firstColumn="0" w:lastColumn="0" w:oddVBand="0" w:evenVBand="0" w:oddHBand="0" w:evenHBand="0" w:firstRowFirstColumn="0" w:firstRowLastColumn="0" w:lastRowFirstColumn="0" w:lastRowLastColumn="0"/>
              <w:rPr>
                <w:lang w:val="en-US"/>
              </w:rPr>
            </w:pPr>
            <w:r w:rsidRPr="00C213C3">
              <w:rPr>
                <w:lang w:val="en-US"/>
              </w:rPr>
              <w:t>4 factor solution at seed 54 was rotated to FPEAK 15</w:t>
            </w:r>
          </w:p>
        </w:tc>
      </w:tr>
      <w:tr w:rsidR="00C213C3" w:rsidRPr="00C213C3" w14:paraId="0D9DADF9" w14:textId="77777777" w:rsidTr="00FC47C6">
        <w:trPr>
          <w:trHeight w:val="20"/>
        </w:trPr>
        <w:tc>
          <w:tcPr>
            <w:cnfStyle w:val="001000000000" w:firstRow="0" w:lastRow="0" w:firstColumn="1" w:lastColumn="0" w:oddVBand="0" w:evenVBand="0" w:oddHBand="0" w:evenHBand="0" w:firstRowFirstColumn="0" w:firstRowLastColumn="0" w:lastRowFirstColumn="0" w:lastRowLastColumn="0"/>
            <w:tcW w:w="772" w:type="pct"/>
            <w:hideMark/>
          </w:tcPr>
          <w:p w14:paraId="0C1033BD" w14:textId="77777777" w:rsidR="00C213C3" w:rsidRPr="00C213C3" w:rsidRDefault="00C213C3" w:rsidP="00C213C3">
            <w:pPr>
              <w:rPr>
                <w:lang w:val="en-US"/>
              </w:rPr>
            </w:pPr>
            <w:r w:rsidRPr="00C213C3">
              <w:rPr>
                <w:lang w:val="en-US"/>
              </w:rPr>
              <w:t>M17</w:t>
            </w:r>
          </w:p>
        </w:tc>
        <w:tc>
          <w:tcPr>
            <w:tcW w:w="4228" w:type="pct"/>
            <w:hideMark/>
          </w:tcPr>
          <w:p w14:paraId="649D9D05" w14:textId="77777777" w:rsidR="00C213C3" w:rsidRPr="00C213C3" w:rsidRDefault="00C213C3" w:rsidP="00C213C3">
            <w:pPr>
              <w:cnfStyle w:val="000000000000" w:firstRow="0" w:lastRow="0" w:firstColumn="0" w:lastColumn="0" w:oddVBand="0" w:evenVBand="0" w:oddHBand="0" w:evenHBand="0" w:firstRowFirstColumn="0" w:firstRowLastColumn="0" w:lastRowFirstColumn="0" w:lastRowLastColumn="0"/>
              <w:rPr>
                <w:lang w:val="en-US"/>
              </w:rPr>
            </w:pPr>
            <w:r w:rsidRPr="00C213C3">
              <w:rPr>
                <w:lang w:val="en-US"/>
              </w:rPr>
              <w:t>3 factor solution at seed 83 with no constraints or rotations applied</w:t>
            </w:r>
          </w:p>
        </w:tc>
      </w:tr>
    </w:tbl>
    <w:p w14:paraId="78AE86A4" w14:textId="77777777" w:rsidR="00226B5D" w:rsidRDefault="00226B5D" w:rsidP="00226B5D">
      <w:pPr>
        <w:pStyle w:val="Caption"/>
        <w:rPr>
          <w:lang w:val="en-US"/>
        </w:rPr>
      </w:pPr>
      <w:bookmarkStart w:id="11" w:name="_Toc64291825"/>
    </w:p>
    <w:p w14:paraId="4A146AD6" w14:textId="2FEB8087" w:rsidR="00226B5D" w:rsidRPr="00226B5D" w:rsidRDefault="00226B5D" w:rsidP="00226B5D">
      <w:pPr>
        <w:pStyle w:val="Caption"/>
        <w:rPr>
          <w:lang w:val="en-US"/>
        </w:rPr>
      </w:pPr>
      <w:r w:rsidRPr="00226B5D">
        <w:rPr>
          <w:lang w:val="en-US"/>
        </w:rPr>
        <w:t>Table S8 BS mapping results (reported in terms of BS mapping observed in period)</w:t>
      </w:r>
      <w:bookmarkEnd w:id="11"/>
    </w:p>
    <w:tbl>
      <w:tblPr>
        <w:tblStyle w:val="Copernicus"/>
        <w:tblW w:w="0" w:type="auto"/>
        <w:jc w:val="center"/>
        <w:tblLook w:val="04A0" w:firstRow="1" w:lastRow="0" w:firstColumn="1" w:lastColumn="0" w:noHBand="0" w:noVBand="1"/>
      </w:tblPr>
      <w:tblGrid>
        <w:gridCol w:w="966"/>
        <w:gridCol w:w="3742"/>
        <w:gridCol w:w="2212"/>
      </w:tblGrid>
      <w:tr w:rsidR="00226B5D" w:rsidRPr="00226B5D" w14:paraId="51300BA4" w14:textId="77777777" w:rsidTr="00226B5D">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536F15" w14:textId="77777777" w:rsidR="00226B5D" w:rsidRPr="00226B5D" w:rsidRDefault="00226B5D" w:rsidP="00226B5D">
            <w:pPr>
              <w:rPr>
                <w:lang w:val="en-US"/>
              </w:rPr>
            </w:pPr>
            <w:r w:rsidRPr="00226B5D">
              <w:rPr>
                <w:lang w:val="en-US"/>
              </w:rPr>
              <w:t>Period</w:t>
            </w:r>
          </w:p>
        </w:tc>
        <w:tc>
          <w:tcPr>
            <w:tcW w:w="0" w:type="auto"/>
            <w:hideMark/>
          </w:tcPr>
          <w:p w14:paraId="77D93C36" w14:textId="77777777" w:rsidR="00226B5D" w:rsidRPr="00226B5D" w:rsidRDefault="00226B5D" w:rsidP="00226B5D">
            <w:pPr>
              <w:cnfStyle w:val="100000000000" w:firstRow="1" w:lastRow="0" w:firstColumn="0" w:lastColumn="0" w:oddVBand="0" w:evenVBand="0" w:oddHBand="0" w:evenHBand="0" w:firstRowFirstColumn="0" w:firstRowLastColumn="0" w:lastRowFirstColumn="0" w:lastRowLastColumn="0"/>
              <w:rPr>
                <w:lang w:val="en-US"/>
              </w:rPr>
            </w:pPr>
            <w:r w:rsidRPr="00226B5D">
              <w:rPr>
                <w:lang w:val="en-US"/>
              </w:rPr>
              <w:t>Factors Separated in EPA PMF</w:t>
            </w:r>
          </w:p>
        </w:tc>
        <w:tc>
          <w:tcPr>
            <w:tcW w:w="0" w:type="auto"/>
            <w:hideMark/>
          </w:tcPr>
          <w:p w14:paraId="63E7DDAC" w14:textId="77777777" w:rsidR="00226B5D" w:rsidRPr="00226B5D" w:rsidRDefault="00226B5D" w:rsidP="00226B5D">
            <w:pPr>
              <w:cnfStyle w:val="100000000000" w:firstRow="1" w:lastRow="0" w:firstColumn="0" w:lastColumn="0" w:oddVBand="0" w:evenVBand="0" w:oddHBand="0" w:evenHBand="0" w:firstRowFirstColumn="0" w:firstRowLastColumn="0" w:lastRowFirstColumn="0" w:lastRowLastColumn="0"/>
              <w:rPr>
                <w:lang w:val="en-US"/>
              </w:rPr>
            </w:pPr>
            <w:r w:rsidRPr="00226B5D">
              <w:rPr>
                <w:lang w:val="en-US"/>
              </w:rPr>
              <w:t>BS Mapping (out of 100)</w:t>
            </w:r>
          </w:p>
        </w:tc>
      </w:tr>
      <w:tr w:rsidR="00226B5D" w:rsidRPr="00226B5D" w14:paraId="26F37F9C"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3B6B98" w14:textId="77777777" w:rsidR="00226B5D" w:rsidRPr="00226B5D" w:rsidRDefault="00226B5D" w:rsidP="00226B5D">
            <w:pPr>
              <w:rPr>
                <w:lang w:val="en-US"/>
              </w:rPr>
            </w:pPr>
            <w:r w:rsidRPr="00226B5D">
              <w:rPr>
                <w:lang w:val="en-US"/>
              </w:rPr>
              <w:t>W171115</w:t>
            </w:r>
          </w:p>
        </w:tc>
        <w:tc>
          <w:tcPr>
            <w:tcW w:w="0" w:type="auto"/>
            <w:hideMark/>
          </w:tcPr>
          <w:p w14:paraId="719B77F6"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SFC-OA, BBOA, Local OOA, Regional OOA</w:t>
            </w:r>
          </w:p>
        </w:tc>
        <w:tc>
          <w:tcPr>
            <w:tcW w:w="0" w:type="auto"/>
            <w:hideMark/>
          </w:tcPr>
          <w:p w14:paraId="74561F16"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100, 92, 100, 95</w:t>
            </w:r>
          </w:p>
        </w:tc>
      </w:tr>
      <w:tr w:rsidR="00226B5D" w:rsidRPr="00226B5D" w14:paraId="3BA6A80C"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6735DCF" w14:textId="77777777" w:rsidR="00226B5D" w:rsidRPr="00226B5D" w:rsidRDefault="00226B5D" w:rsidP="00226B5D">
            <w:pPr>
              <w:rPr>
                <w:lang w:val="en-US"/>
              </w:rPr>
            </w:pPr>
            <w:r w:rsidRPr="00226B5D">
              <w:rPr>
                <w:lang w:val="en-US"/>
              </w:rPr>
              <w:t>W172303</w:t>
            </w:r>
          </w:p>
        </w:tc>
        <w:tc>
          <w:tcPr>
            <w:tcW w:w="0" w:type="auto"/>
            <w:hideMark/>
          </w:tcPr>
          <w:p w14:paraId="72E2BBBE"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HOA, BBOA, Local OOA, Regional OOA</w:t>
            </w:r>
          </w:p>
        </w:tc>
        <w:tc>
          <w:tcPr>
            <w:tcW w:w="0" w:type="auto"/>
            <w:hideMark/>
          </w:tcPr>
          <w:p w14:paraId="7F49574A"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100, 99, 97, 100</w:t>
            </w:r>
          </w:p>
        </w:tc>
      </w:tr>
      <w:tr w:rsidR="00226B5D" w:rsidRPr="00226B5D" w14:paraId="4DEE216A"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3899913" w14:textId="77777777" w:rsidR="00226B5D" w:rsidRPr="00226B5D" w:rsidRDefault="00226B5D" w:rsidP="00226B5D">
            <w:pPr>
              <w:rPr>
                <w:lang w:val="en-US"/>
              </w:rPr>
            </w:pPr>
            <w:r w:rsidRPr="00226B5D">
              <w:rPr>
                <w:lang w:val="en-US"/>
              </w:rPr>
              <w:t>W17</w:t>
            </w:r>
          </w:p>
        </w:tc>
        <w:tc>
          <w:tcPr>
            <w:tcW w:w="0" w:type="auto"/>
            <w:hideMark/>
          </w:tcPr>
          <w:p w14:paraId="50C210AB"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HOA, BBOA, Local OOA, Regional OOA</w:t>
            </w:r>
          </w:p>
        </w:tc>
        <w:tc>
          <w:tcPr>
            <w:tcW w:w="0" w:type="auto"/>
            <w:hideMark/>
          </w:tcPr>
          <w:p w14:paraId="400654C0"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100, 100, 100, 100</w:t>
            </w:r>
          </w:p>
        </w:tc>
      </w:tr>
      <w:tr w:rsidR="00226B5D" w:rsidRPr="00226B5D" w14:paraId="3638B846"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384CD47" w14:textId="77777777" w:rsidR="00226B5D" w:rsidRPr="00226B5D" w:rsidRDefault="00226B5D" w:rsidP="00226B5D">
            <w:pPr>
              <w:rPr>
                <w:lang w:val="en-US"/>
              </w:rPr>
            </w:pPr>
            <w:r w:rsidRPr="00226B5D">
              <w:rPr>
                <w:lang w:val="en-US"/>
              </w:rPr>
              <w:t>M171115</w:t>
            </w:r>
          </w:p>
        </w:tc>
        <w:tc>
          <w:tcPr>
            <w:tcW w:w="0" w:type="auto"/>
            <w:hideMark/>
          </w:tcPr>
          <w:p w14:paraId="58C3FA9A"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 xml:space="preserve">POA, Local OOA, Regional OOA </w:t>
            </w:r>
          </w:p>
        </w:tc>
        <w:tc>
          <w:tcPr>
            <w:tcW w:w="0" w:type="auto"/>
            <w:hideMark/>
          </w:tcPr>
          <w:p w14:paraId="7171CFAB"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95, 77, 100</w:t>
            </w:r>
          </w:p>
        </w:tc>
      </w:tr>
      <w:tr w:rsidR="00226B5D" w:rsidRPr="00226B5D" w14:paraId="4B6826A8"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90237A9" w14:textId="77777777" w:rsidR="00226B5D" w:rsidRPr="00226B5D" w:rsidRDefault="00226B5D" w:rsidP="00226B5D">
            <w:pPr>
              <w:rPr>
                <w:lang w:val="en-US"/>
              </w:rPr>
            </w:pPr>
            <w:r w:rsidRPr="00226B5D">
              <w:rPr>
                <w:lang w:val="en-US"/>
              </w:rPr>
              <w:t>M172303</w:t>
            </w:r>
          </w:p>
        </w:tc>
        <w:tc>
          <w:tcPr>
            <w:tcW w:w="0" w:type="auto"/>
            <w:hideMark/>
          </w:tcPr>
          <w:p w14:paraId="251E2D41"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HOA, COA, Local OOA, Regional OOA</w:t>
            </w:r>
          </w:p>
        </w:tc>
        <w:tc>
          <w:tcPr>
            <w:tcW w:w="0" w:type="auto"/>
            <w:hideMark/>
          </w:tcPr>
          <w:p w14:paraId="11BAEECF"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100, 100, 96, 99</w:t>
            </w:r>
          </w:p>
        </w:tc>
      </w:tr>
      <w:tr w:rsidR="00226B5D" w:rsidRPr="00226B5D" w14:paraId="3A15C032"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9FE25B" w14:textId="77777777" w:rsidR="00226B5D" w:rsidRPr="00226B5D" w:rsidRDefault="00226B5D" w:rsidP="00226B5D">
            <w:pPr>
              <w:rPr>
                <w:lang w:val="en-US"/>
              </w:rPr>
            </w:pPr>
            <w:r w:rsidRPr="00226B5D">
              <w:rPr>
                <w:lang w:val="en-US"/>
              </w:rPr>
              <w:t>M17</w:t>
            </w:r>
          </w:p>
        </w:tc>
        <w:tc>
          <w:tcPr>
            <w:tcW w:w="0" w:type="auto"/>
            <w:hideMark/>
          </w:tcPr>
          <w:p w14:paraId="11BBA968"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POA, Local OOA, Regional OOA</w:t>
            </w:r>
          </w:p>
        </w:tc>
        <w:tc>
          <w:tcPr>
            <w:tcW w:w="0" w:type="auto"/>
            <w:hideMark/>
          </w:tcPr>
          <w:p w14:paraId="675EC76E" w14:textId="0A762064"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proofErr w:type="spellStart"/>
            <w:r w:rsidRPr="00226B5D">
              <w:rPr>
                <w:lang w:val="en-US"/>
              </w:rPr>
              <w:t>NA</w:t>
            </w:r>
            <w:r w:rsidRPr="00226B5D">
              <w:rPr>
                <w:vertAlign w:val="superscript"/>
                <w:lang w:val="en-US"/>
              </w:rPr>
              <w:t>a</w:t>
            </w:r>
            <w:proofErr w:type="spellEnd"/>
          </w:p>
        </w:tc>
      </w:tr>
    </w:tbl>
    <w:p w14:paraId="185CA0B1" w14:textId="6487ACD6" w:rsidR="00C213C3" w:rsidRDefault="00226B5D" w:rsidP="00B4015F">
      <w:pPr>
        <w:rPr>
          <w:lang w:val="en-US"/>
        </w:rPr>
      </w:pPr>
      <w:proofErr w:type="spellStart"/>
      <w:r w:rsidRPr="00226B5D">
        <w:rPr>
          <w:vertAlign w:val="superscript"/>
          <w:lang w:val="en-US"/>
        </w:rPr>
        <w:t>a</w:t>
      </w:r>
      <w:r w:rsidR="00995AEE">
        <w:rPr>
          <w:lang w:val="en-US"/>
        </w:rPr>
        <w:t>Test</w:t>
      </w:r>
      <w:proofErr w:type="spellEnd"/>
      <w:r w:rsidRPr="00226B5D">
        <w:rPr>
          <w:lang w:val="en-US"/>
        </w:rPr>
        <w:t xml:space="preserve"> terminated prematurely due to large computational size of data</w:t>
      </w:r>
    </w:p>
    <w:p w14:paraId="35D82E98" w14:textId="77777777" w:rsidR="00226B5D" w:rsidRPr="00226B5D" w:rsidRDefault="00226B5D" w:rsidP="00226B5D">
      <w:pPr>
        <w:pStyle w:val="Caption"/>
        <w:rPr>
          <w:lang w:val="en-US"/>
        </w:rPr>
      </w:pPr>
      <w:bookmarkStart w:id="12" w:name="_Toc64291826"/>
      <w:r w:rsidRPr="00226B5D">
        <w:rPr>
          <w:lang w:val="en-US"/>
        </w:rPr>
        <w:t xml:space="preserve">Table S9 DISP swap performance results for lowest </w:t>
      </w:r>
      <w:r w:rsidRPr="00226B5D">
        <w:rPr>
          <w:i/>
          <w:iCs/>
          <w:lang w:val="en-US"/>
        </w:rPr>
        <w:t>dQ</w:t>
      </w:r>
      <w:r w:rsidRPr="00226B5D">
        <w:rPr>
          <w:lang w:val="en-US"/>
        </w:rPr>
        <w:t>-max</w:t>
      </w:r>
      <w:bookmarkEnd w:id="12"/>
    </w:p>
    <w:tbl>
      <w:tblPr>
        <w:tblStyle w:val="Copernicus"/>
        <w:tblW w:w="0" w:type="auto"/>
        <w:jc w:val="center"/>
        <w:tblLook w:val="04A0" w:firstRow="1" w:lastRow="0" w:firstColumn="1" w:lastColumn="0" w:noHBand="0" w:noVBand="1"/>
      </w:tblPr>
      <w:tblGrid>
        <w:gridCol w:w="966"/>
        <w:gridCol w:w="3742"/>
        <w:gridCol w:w="1214"/>
      </w:tblGrid>
      <w:tr w:rsidR="00226B5D" w:rsidRPr="00226B5D" w14:paraId="6E7C49A3" w14:textId="77777777" w:rsidTr="00226B5D">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1803A83" w14:textId="77777777" w:rsidR="00226B5D" w:rsidRPr="00226B5D" w:rsidRDefault="00226B5D" w:rsidP="00226B5D">
            <w:pPr>
              <w:rPr>
                <w:lang w:val="en-US"/>
              </w:rPr>
            </w:pPr>
            <w:r w:rsidRPr="00226B5D">
              <w:rPr>
                <w:lang w:val="en-US"/>
              </w:rPr>
              <w:t>Period</w:t>
            </w:r>
          </w:p>
        </w:tc>
        <w:tc>
          <w:tcPr>
            <w:tcW w:w="0" w:type="auto"/>
            <w:hideMark/>
          </w:tcPr>
          <w:p w14:paraId="6F517D64" w14:textId="77777777" w:rsidR="00226B5D" w:rsidRPr="00226B5D" w:rsidRDefault="00226B5D" w:rsidP="00226B5D">
            <w:pPr>
              <w:cnfStyle w:val="100000000000" w:firstRow="1" w:lastRow="0" w:firstColumn="0" w:lastColumn="0" w:oddVBand="0" w:evenVBand="0" w:oddHBand="0" w:evenHBand="0" w:firstRowFirstColumn="0" w:firstRowLastColumn="0" w:lastRowFirstColumn="0" w:lastRowLastColumn="0"/>
              <w:rPr>
                <w:lang w:val="en-US"/>
              </w:rPr>
            </w:pPr>
            <w:r w:rsidRPr="00226B5D">
              <w:rPr>
                <w:lang w:val="en-US"/>
              </w:rPr>
              <w:t>Factors Separated in EPA PMF</w:t>
            </w:r>
          </w:p>
        </w:tc>
        <w:tc>
          <w:tcPr>
            <w:tcW w:w="0" w:type="auto"/>
            <w:hideMark/>
          </w:tcPr>
          <w:p w14:paraId="2444624F" w14:textId="77777777" w:rsidR="00226B5D" w:rsidRPr="00226B5D" w:rsidRDefault="00226B5D" w:rsidP="00226B5D">
            <w:pPr>
              <w:cnfStyle w:val="100000000000" w:firstRow="1" w:lastRow="0" w:firstColumn="0" w:lastColumn="0" w:oddVBand="0" w:evenVBand="0" w:oddHBand="0" w:evenHBand="0" w:firstRowFirstColumn="0" w:firstRowLastColumn="0" w:lastRowFirstColumn="0" w:lastRowLastColumn="0"/>
              <w:rPr>
                <w:lang w:val="en-US"/>
              </w:rPr>
            </w:pPr>
            <w:r w:rsidRPr="00226B5D">
              <w:rPr>
                <w:lang w:val="en-US"/>
              </w:rPr>
              <w:t>DISP Swaps</w:t>
            </w:r>
          </w:p>
        </w:tc>
      </w:tr>
      <w:tr w:rsidR="00226B5D" w:rsidRPr="00226B5D" w14:paraId="690D6ADD"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121E35C" w14:textId="77777777" w:rsidR="00226B5D" w:rsidRPr="00226B5D" w:rsidRDefault="00226B5D" w:rsidP="00226B5D">
            <w:pPr>
              <w:rPr>
                <w:lang w:val="en-US"/>
              </w:rPr>
            </w:pPr>
            <w:r w:rsidRPr="00226B5D">
              <w:rPr>
                <w:lang w:val="en-US"/>
              </w:rPr>
              <w:t>W171115</w:t>
            </w:r>
          </w:p>
        </w:tc>
        <w:tc>
          <w:tcPr>
            <w:tcW w:w="0" w:type="auto"/>
            <w:hideMark/>
          </w:tcPr>
          <w:p w14:paraId="7C1BFEAF"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SFC-OA, BBOA, Local OOA, Regional OOA</w:t>
            </w:r>
          </w:p>
        </w:tc>
        <w:tc>
          <w:tcPr>
            <w:tcW w:w="0" w:type="auto"/>
            <w:hideMark/>
          </w:tcPr>
          <w:p w14:paraId="59067D9A"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0, 0, 0, 0</w:t>
            </w:r>
          </w:p>
        </w:tc>
      </w:tr>
      <w:tr w:rsidR="00226B5D" w:rsidRPr="00226B5D" w14:paraId="48247EB0"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2C98C08" w14:textId="77777777" w:rsidR="00226B5D" w:rsidRPr="00226B5D" w:rsidRDefault="00226B5D" w:rsidP="00226B5D">
            <w:pPr>
              <w:rPr>
                <w:lang w:val="en-US"/>
              </w:rPr>
            </w:pPr>
            <w:r w:rsidRPr="00226B5D">
              <w:rPr>
                <w:lang w:val="en-US"/>
              </w:rPr>
              <w:t>W172303</w:t>
            </w:r>
          </w:p>
        </w:tc>
        <w:tc>
          <w:tcPr>
            <w:tcW w:w="0" w:type="auto"/>
            <w:hideMark/>
          </w:tcPr>
          <w:p w14:paraId="490DF063"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HOA, BBOA, Local OOA, Regional OOA</w:t>
            </w:r>
          </w:p>
        </w:tc>
        <w:tc>
          <w:tcPr>
            <w:tcW w:w="0" w:type="auto"/>
            <w:hideMark/>
          </w:tcPr>
          <w:p w14:paraId="36CBEBDE"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0, 0, 0, 0</w:t>
            </w:r>
          </w:p>
        </w:tc>
      </w:tr>
      <w:tr w:rsidR="00226B5D" w:rsidRPr="00226B5D" w14:paraId="44C982A7"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1CF403" w14:textId="77777777" w:rsidR="00226B5D" w:rsidRPr="00226B5D" w:rsidRDefault="00226B5D" w:rsidP="00226B5D">
            <w:pPr>
              <w:rPr>
                <w:lang w:val="en-US"/>
              </w:rPr>
            </w:pPr>
            <w:r w:rsidRPr="00226B5D">
              <w:rPr>
                <w:lang w:val="en-US"/>
              </w:rPr>
              <w:t>W17</w:t>
            </w:r>
          </w:p>
        </w:tc>
        <w:tc>
          <w:tcPr>
            <w:tcW w:w="0" w:type="auto"/>
            <w:hideMark/>
          </w:tcPr>
          <w:p w14:paraId="60C9FB44"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HOA, BBOA, Local OOA, Regional OOA</w:t>
            </w:r>
          </w:p>
        </w:tc>
        <w:tc>
          <w:tcPr>
            <w:tcW w:w="0" w:type="auto"/>
            <w:hideMark/>
          </w:tcPr>
          <w:p w14:paraId="3FB95A49"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0, 0, 0, 0</w:t>
            </w:r>
          </w:p>
        </w:tc>
      </w:tr>
      <w:tr w:rsidR="00226B5D" w:rsidRPr="00226B5D" w14:paraId="60229044"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1A61C3C" w14:textId="77777777" w:rsidR="00226B5D" w:rsidRPr="00226B5D" w:rsidRDefault="00226B5D" w:rsidP="00226B5D">
            <w:pPr>
              <w:rPr>
                <w:lang w:val="en-US"/>
              </w:rPr>
            </w:pPr>
            <w:r w:rsidRPr="00226B5D">
              <w:rPr>
                <w:lang w:val="en-US"/>
              </w:rPr>
              <w:t>M171115</w:t>
            </w:r>
          </w:p>
        </w:tc>
        <w:tc>
          <w:tcPr>
            <w:tcW w:w="0" w:type="auto"/>
            <w:hideMark/>
          </w:tcPr>
          <w:p w14:paraId="5C95DBEC"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 xml:space="preserve">POA, Local OOA, Regional OOA </w:t>
            </w:r>
          </w:p>
        </w:tc>
        <w:tc>
          <w:tcPr>
            <w:tcW w:w="0" w:type="auto"/>
            <w:hideMark/>
          </w:tcPr>
          <w:p w14:paraId="7C22DA6D"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0, 0, 0</w:t>
            </w:r>
          </w:p>
        </w:tc>
      </w:tr>
      <w:tr w:rsidR="00226B5D" w:rsidRPr="00226B5D" w14:paraId="0647B8C3"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056688" w14:textId="77777777" w:rsidR="00226B5D" w:rsidRPr="00226B5D" w:rsidRDefault="00226B5D" w:rsidP="00226B5D">
            <w:pPr>
              <w:rPr>
                <w:lang w:val="en-US"/>
              </w:rPr>
            </w:pPr>
            <w:r w:rsidRPr="00226B5D">
              <w:rPr>
                <w:lang w:val="en-US"/>
              </w:rPr>
              <w:t>M172303</w:t>
            </w:r>
          </w:p>
        </w:tc>
        <w:tc>
          <w:tcPr>
            <w:tcW w:w="0" w:type="auto"/>
            <w:hideMark/>
          </w:tcPr>
          <w:p w14:paraId="4F3B437A"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HOA, COA, Local OOA, Regional OOA</w:t>
            </w:r>
          </w:p>
        </w:tc>
        <w:tc>
          <w:tcPr>
            <w:tcW w:w="0" w:type="auto"/>
            <w:hideMark/>
          </w:tcPr>
          <w:p w14:paraId="2F987185"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0, 0, 0, 0</w:t>
            </w:r>
          </w:p>
        </w:tc>
      </w:tr>
      <w:tr w:rsidR="00226B5D" w:rsidRPr="00226B5D" w14:paraId="509D9381" w14:textId="77777777" w:rsidTr="00226B5D">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887C239" w14:textId="77777777" w:rsidR="00226B5D" w:rsidRPr="00226B5D" w:rsidRDefault="00226B5D" w:rsidP="00226B5D">
            <w:pPr>
              <w:rPr>
                <w:lang w:val="en-US"/>
              </w:rPr>
            </w:pPr>
            <w:r w:rsidRPr="00226B5D">
              <w:rPr>
                <w:lang w:val="en-US"/>
              </w:rPr>
              <w:t>M17</w:t>
            </w:r>
          </w:p>
        </w:tc>
        <w:tc>
          <w:tcPr>
            <w:tcW w:w="0" w:type="auto"/>
            <w:hideMark/>
          </w:tcPr>
          <w:p w14:paraId="5B32ACB8"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POA, Local OOA, Regional OOA</w:t>
            </w:r>
          </w:p>
        </w:tc>
        <w:tc>
          <w:tcPr>
            <w:tcW w:w="0" w:type="auto"/>
            <w:hideMark/>
          </w:tcPr>
          <w:p w14:paraId="4218E888" w14:textId="77777777" w:rsidR="00226B5D" w:rsidRPr="00226B5D" w:rsidRDefault="00226B5D" w:rsidP="00226B5D">
            <w:pPr>
              <w:cnfStyle w:val="000000000000" w:firstRow="0" w:lastRow="0" w:firstColumn="0" w:lastColumn="0" w:oddVBand="0" w:evenVBand="0" w:oddHBand="0" w:evenHBand="0" w:firstRowFirstColumn="0" w:firstRowLastColumn="0" w:lastRowFirstColumn="0" w:lastRowLastColumn="0"/>
              <w:rPr>
                <w:lang w:val="en-US"/>
              </w:rPr>
            </w:pPr>
            <w:r w:rsidRPr="00226B5D">
              <w:rPr>
                <w:lang w:val="en-US"/>
              </w:rPr>
              <w:t>0, 0, 0, 0</w:t>
            </w:r>
          </w:p>
        </w:tc>
      </w:tr>
    </w:tbl>
    <w:p w14:paraId="13D34D8E" w14:textId="0565947C" w:rsidR="0051128E" w:rsidRPr="0051128E" w:rsidRDefault="0051128E" w:rsidP="0051128E">
      <w:pPr>
        <w:pStyle w:val="Caption"/>
        <w:rPr>
          <w:lang w:val="en-US"/>
        </w:rPr>
      </w:pPr>
      <w:bookmarkStart w:id="13" w:name="_Toc64291827"/>
      <w:r w:rsidRPr="0051128E">
        <w:rPr>
          <w:lang w:val="en-US"/>
        </w:rPr>
        <w:t xml:space="preserve">Table S10 BS-DISP swap performance results for lowest </w:t>
      </w:r>
      <w:r w:rsidRPr="0051128E">
        <w:rPr>
          <w:i/>
          <w:iCs/>
          <w:lang w:val="en-US"/>
        </w:rPr>
        <w:t>dQ</w:t>
      </w:r>
      <w:r w:rsidRPr="0051128E">
        <w:rPr>
          <w:lang w:val="en-US"/>
        </w:rPr>
        <w:t>-max</w:t>
      </w:r>
      <w:bookmarkEnd w:id="13"/>
    </w:p>
    <w:tbl>
      <w:tblPr>
        <w:tblStyle w:val="Copernicus"/>
        <w:tblW w:w="0" w:type="auto"/>
        <w:jc w:val="center"/>
        <w:tblLook w:val="04A0" w:firstRow="1" w:lastRow="0" w:firstColumn="1" w:lastColumn="0" w:noHBand="0" w:noVBand="1"/>
      </w:tblPr>
      <w:tblGrid>
        <w:gridCol w:w="966"/>
        <w:gridCol w:w="3742"/>
        <w:gridCol w:w="1478"/>
        <w:gridCol w:w="1510"/>
      </w:tblGrid>
      <w:tr w:rsidR="0051128E" w:rsidRPr="0051128E" w14:paraId="51F5B776" w14:textId="77777777" w:rsidTr="0051128E">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C53043F" w14:textId="77777777" w:rsidR="0051128E" w:rsidRPr="0051128E" w:rsidRDefault="0051128E" w:rsidP="0051128E">
            <w:pPr>
              <w:rPr>
                <w:lang w:val="en-US"/>
              </w:rPr>
            </w:pPr>
            <w:r w:rsidRPr="0051128E">
              <w:rPr>
                <w:lang w:val="en-US"/>
              </w:rPr>
              <w:t>Period</w:t>
            </w:r>
          </w:p>
        </w:tc>
        <w:tc>
          <w:tcPr>
            <w:tcW w:w="0" w:type="auto"/>
            <w:hideMark/>
          </w:tcPr>
          <w:p w14:paraId="07D6BF8E" w14:textId="77777777" w:rsidR="0051128E" w:rsidRPr="0051128E" w:rsidRDefault="0051128E" w:rsidP="0051128E">
            <w:pPr>
              <w:cnfStyle w:val="100000000000" w:firstRow="1" w:lastRow="0" w:firstColumn="0" w:lastColumn="0" w:oddVBand="0" w:evenVBand="0" w:oddHBand="0" w:evenHBand="0" w:firstRowFirstColumn="0" w:firstRowLastColumn="0" w:lastRowFirstColumn="0" w:lastRowLastColumn="0"/>
              <w:rPr>
                <w:lang w:val="en-US"/>
              </w:rPr>
            </w:pPr>
            <w:r w:rsidRPr="0051128E">
              <w:rPr>
                <w:lang w:val="en-US"/>
              </w:rPr>
              <w:t>Factors Separated in EPA PMF</w:t>
            </w:r>
          </w:p>
        </w:tc>
        <w:tc>
          <w:tcPr>
            <w:tcW w:w="0" w:type="auto"/>
            <w:hideMark/>
          </w:tcPr>
          <w:p w14:paraId="547F55D2" w14:textId="77777777" w:rsidR="0051128E" w:rsidRPr="0051128E" w:rsidRDefault="0051128E" w:rsidP="0051128E">
            <w:pPr>
              <w:cnfStyle w:val="100000000000" w:firstRow="1" w:lastRow="0" w:firstColumn="0" w:lastColumn="0" w:oddVBand="0" w:evenVBand="0" w:oddHBand="0" w:evenHBand="0" w:firstRowFirstColumn="0" w:firstRowLastColumn="0" w:lastRowFirstColumn="0" w:lastRowLastColumn="0"/>
              <w:rPr>
                <w:lang w:val="en-US"/>
              </w:rPr>
            </w:pPr>
            <w:r w:rsidRPr="0051128E">
              <w:rPr>
                <w:lang w:val="en-US"/>
              </w:rPr>
              <w:t>Accepted Cases</w:t>
            </w:r>
          </w:p>
        </w:tc>
        <w:tc>
          <w:tcPr>
            <w:tcW w:w="0" w:type="auto"/>
            <w:hideMark/>
          </w:tcPr>
          <w:p w14:paraId="340C2BB6" w14:textId="77777777" w:rsidR="0051128E" w:rsidRPr="0051128E" w:rsidRDefault="0051128E" w:rsidP="0051128E">
            <w:pPr>
              <w:cnfStyle w:val="100000000000" w:firstRow="1" w:lastRow="0" w:firstColumn="0" w:lastColumn="0" w:oddVBand="0" w:evenVBand="0" w:oddHBand="0" w:evenHBand="0" w:firstRowFirstColumn="0" w:firstRowLastColumn="0" w:lastRowFirstColumn="0" w:lastRowLastColumn="0"/>
              <w:rPr>
                <w:lang w:val="en-US"/>
              </w:rPr>
            </w:pPr>
            <w:r w:rsidRPr="0051128E">
              <w:rPr>
                <w:lang w:val="en-US"/>
              </w:rPr>
              <w:t>BS-DISP Swaps</w:t>
            </w:r>
          </w:p>
        </w:tc>
      </w:tr>
      <w:tr w:rsidR="0051128E" w:rsidRPr="0051128E" w14:paraId="6DAD872D" w14:textId="77777777" w:rsidTr="0051128E">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A8C1B9B" w14:textId="77777777" w:rsidR="0051128E" w:rsidRPr="0051128E" w:rsidRDefault="0051128E" w:rsidP="0051128E">
            <w:pPr>
              <w:rPr>
                <w:lang w:val="en-US"/>
              </w:rPr>
            </w:pPr>
            <w:r w:rsidRPr="0051128E">
              <w:rPr>
                <w:lang w:val="en-US"/>
              </w:rPr>
              <w:t>W171115</w:t>
            </w:r>
          </w:p>
        </w:tc>
        <w:tc>
          <w:tcPr>
            <w:tcW w:w="0" w:type="auto"/>
            <w:hideMark/>
          </w:tcPr>
          <w:p w14:paraId="4C0BFF2C"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SFC-OA, BBOA, Local OOA, Regional OOA</w:t>
            </w:r>
          </w:p>
        </w:tc>
        <w:tc>
          <w:tcPr>
            <w:tcW w:w="0" w:type="auto"/>
            <w:hideMark/>
          </w:tcPr>
          <w:p w14:paraId="03490A1D"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82</w:t>
            </w:r>
          </w:p>
        </w:tc>
        <w:tc>
          <w:tcPr>
            <w:tcW w:w="0" w:type="auto"/>
            <w:hideMark/>
          </w:tcPr>
          <w:p w14:paraId="2415A6D2"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2, 1, 0, 3</w:t>
            </w:r>
          </w:p>
        </w:tc>
      </w:tr>
      <w:tr w:rsidR="0051128E" w:rsidRPr="0051128E" w14:paraId="65FCADFE" w14:textId="77777777" w:rsidTr="0051128E">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27C5BB" w14:textId="77777777" w:rsidR="0051128E" w:rsidRPr="0051128E" w:rsidRDefault="0051128E" w:rsidP="0051128E">
            <w:pPr>
              <w:rPr>
                <w:lang w:val="en-US"/>
              </w:rPr>
            </w:pPr>
            <w:r w:rsidRPr="0051128E">
              <w:rPr>
                <w:lang w:val="en-US"/>
              </w:rPr>
              <w:t>W172303</w:t>
            </w:r>
          </w:p>
        </w:tc>
        <w:tc>
          <w:tcPr>
            <w:tcW w:w="0" w:type="auto"/>
            <w:hideMark/>
          </w:tcPr>
          <w:p w14:paraId="51D95E7D"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HOA, BBOA, Local OOA, Regional OOA</w:t>
            </w:r>
          </w:p>
        </w:tc>
        <w:tc>
          <w:tcPr>
            <w:tcW w:w="0" w:type="auto"/>
            <w:hideMark/>
          </w:tcPr>
          <w:p w14:paraId="1B0ACD29" w14:textId="06D55A46"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proofErr w:type="spellStart"/>
            <w:r w:rsidRPr="0051128E">
              <w:rPr>
                <w:lang w:val="en-US"/>
              </w:rPr>
              <w:t>NA</w:t>
            </w:r>
            <w:r w:rsidR="00413AD9" w:rsidRPr="00413AD9">
              <w:rPr>
                <w:vertAlign w:val="superscript"/>
                <w:lang w:val="en-US"/>
              </w:rPr>
              <w:t>a</w:t>
            </w:r>
            <w:proofErr w:type="spellEnd"/>
          </w:p>
        </w:tc>
        <w:tc>
          <w:tcPr>
            <w:tcW w:w="0" w:type="auto"/>
            <w:hideMark/>
          </w:tcPr>
          <w:p w14:paraId="086D5904"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0, 0, 0, 0</w:t>
            </w:r>
          </w:p>
        </w:tc>
      </w:tr>
      <w:tr w:rsidR="0051128E" w:rsidRPr="0051128E" w14:paraId="553CBA47" w14:textId="77777777" w:rsidTr="0051128E">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ABC450" w14:textId="77777777" w:rsidR="0051128E" w:rsidRPr="0051128E" w:rsidRDefault="0051128E" w:rsidP="0051128E">
            <w:pPr>
              <w:rPr>
                <w:lang w:val="en-US"/>
              </w:rPr>
            </w:pPr>
            <w:r w:rsidRPr="0051128E">
              <w:rPr>
                <w:lang w:val="en-US"/>
              </w:rPr>
              <w:t>W17</w:t>
            </w:r>
          </w:p>
        </w:tc>
        <w:tc>
          <w:tcPr>
            <w:tcW w:w="0" w:type="auto"/>
            <w:hideMark/>
          </w:tcPr>
          <w:p w14:paraId="3D96FF23"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HOA, BBOA, Local OOA, Regional OOA</w:t>
            </w:r>
          </w:p>
        </w:tc>
        <w:tc>
          <w:tcPr>
            <w:tcW w:w="0" w:type="auto"/>
            <w:hideMark/>
          </w:tcPr>
          <w:p w14:paraId="64C6C5E4"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83</w:t>
            </w:r>
          </w:p>
        </w:tc>
        <w:tc>
          <w:tcPr>
            <w:tcW w:w="0" w:type="auto"/>
            <w:hideMark/>
          </w:tcPr>
          <w:p w14:paraId="38A2B669"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11, 7, 4, 0</w:t>
            </w:r>
          </w:p>
        </w:tc>
      </w:tr>
      <w:tr w:rsidR="0051128E" w:rsidRPr="0051128E" w14:paraId="6D919971" w14:textId="77777777" w:rsidTr="0051128E">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5C3115C" w14:textId="77777777" w:rsidR="0051128E" w:rsidRPr="0051128E" w:rsidRDefault="0051128E" w:rsidP="0051128E">
            <w:pPr>
              <w:rPr>
                <w:lang w:val="en-US"/>
              </w:rPr>
            </w:pPr>
            <w:r w:rsidRPr="0051128E">
              <w:rPr>
                <w:lang w:val="en-US"/>
              </w:rPr>
              <w:t>M171115</w:t>
            </w:r>
          </w:p>
        </w:tc>
        <w:tc>
          <w:tcPr>
            <w:tcW w:w="0" w:type="auto"/>
            <w:hideMark/>
          </w:tcPr>
          <w:p w14:paraId="777DA88C"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 xml:space="preserve">POA, Local OOA, Regional OOA </w:t>
            </w:r>
          </w:p>
        </w:tc>
        <w:tc>
          <w:tcPr>
            <w:tcW w:w="0" w:type="auto"/>
            <w:hideMark/>
          </w:tcPr>
          <w:p w14:paraId="2AB7F08E"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98</w:t>
            </w:r>
          </w:p>
        </w:tc>
        <w:tc>
          <w:tcPr>
            <w:tcW w:w="0" w:type="auto"/>
            <w:hideMark/>
          </w:tcPr>
          <w:p w14:paraId="6D944E6D"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0, 0, 0</w:t>
            </w:r>
          </w:p>
        </w:tc>
      </w:tr>
      <w:tr w:rsidR="0051128E" w:rsidRPr="0051128E" w14:paraId="606884A7" w14:textId="77777777" w:rsidTr="0051128E">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5B868FC" w14:textId="77777777" w:rsidR="0051128E" w:rsidRPr="0051128E" w:rsidRDefault="0051128E" w:rsidP="0051128E">
            <w:pPr>
              <w:rPr>
                <w:lang w:val="en-US"/>
              </w:rPr>
            </w:pPr>
            <w:r w:rsidRPr="0051128E">
              <w:rPr>
                <w:lang w:val="en-US"/>
              </w:rPr>
              <w:t>M172303</w:t>
            </w:r>
          </w:p>
        </w:tc>
        <w:tc>
          <w:tcPr>
            <w:tcW w:w="0" w:type="auto"/>
            <w:hideMark/>
          </w:tcPr>
          <w:p w14:paraId="0EA03270"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HOA, COA, Local OOA, Regional OOA</w:t>
            </w:r>
          </w:p>
        </w:tc>
        <w:tc>
          <w:tcPr>
            <w:tcW w:w="0" w:type="auto"/>
            <w:hideMark/>
          </w:tcPr>
          <w:p w14:paraId="32BBB094"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93</w:t>
            </w:r>
          </w:p>
        </w:tc>
        <w:tc>
          <w:tcPr>
            <w:tcW w:w="0" w:type="auto"/>
            <w:hideMark/>
          </w:tcPr>
          <w:p w14:paraId="6571F8F4"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1, 1, 0, 0</w:t>
            </w:r>
          </w:p>
        </w:tc>
      </w:tr>
      <w:tr w:rsidR="0051128E" w:rsidRPr="0051128E" w14:paraId="7C218908" w14:textId="77777777" w:rsidTr="0051128E">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B5D69B" w14:textId="77777777" w:rsidR="0051128E" w:rsidRPr="0051128E" w:rsidRDefault="0051128E" w:rsidP="0051128E">
            <w:pPr>
              <w:rPr>
                <w:lang w:val="en-US"/>
              </w:rPr>
            </w:pPr>
            <w:r w:rsidRPr="0051128E">
              <w:rPr>
                <w:lang w:val="en-US"/>
              </w:rPr>
              <w:t>M17</w:t>
            </w:r>
          </w:p>
        </w:tc>
        <w:tc>
          <w:tcPr>
            <w:tcW w:w="0" w:type="auto"/>
            <w:hideMark/>
          </w:tcPr>
          <w:p w14:paraId="6EF6CD46"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POA, Local OOA, Regional OOA</w:t>
            </w:r>
          </w:p>
        </w:tc>
        <w:tc>
          <w:tcPr>
            <w:tcW w:w="0" w:type="auto"/>
            <w:hideMark/>
          </w:tcPr>
          <w:p w14:paraId="0D2DF5E3" w14:textId="224E1ECC"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proofErr w:type="spellStart"/>
            <w:r w:rsidRPr="0051128E">
              <w:rPr>
                <w:lang w:val="en-US"/>
              </w:rPr>
              <w:t>NA</w:t>
            </w:r>
            <w:r w:rsidR="00413AD9" w:rsidRPr="00413AD9">
              <w:rPr>
                <w:vertAlign w:val="superscript"/>
                <w:lang w:val="en-US"/>
              </w:rPr>
              <w:t>b</w:t>
            </w:r>
            <w:proofErr w:type="spellEnd"/>
          </w:p>
        </w:tc>
        <w:tc>
          <w:tcPr>
            <w:tcW w:w="0" w:type="auto"/>
            <w:hideMark/>
          </w:tcPr>
          <w:p w14:paraId="373EB7E4" w14:textId="77777777" w:rsidR="0051128E" w:rsidRPr="0051128E" w:rsidRDefault="0051128E" w:rsidP="0051128E">
            <w:pPr>
              <w:cnfStyle w:val="000000000000" w:firstRow="0" w:lastRow="0" w:firstColumn="0" w:lastColumn="0" w:oddVBand="0" w:evenVBand="0" w:oddHBand="0" w:evenHBand="0" w:firstRowFirstColumn="0" w:firstRowLastColumn="0" w:lastRowFirstColumn="0" w:lastRowLastColumn="0"/>
              <w:rPr>
                <w:lang w:val="en-US"/>
              </w:rPr>
            </w:pPr>
            <w:r w:rsidRPr="0051128E">
              <w:rPr>
                <w:lang w:val="en-US"/>
              </w:rPr>
              <w:t>NA</w:t>
            </w:r>
          </w:p>
        </w:tc>
      </w:tr>
    </w:tbl>
    <w:p w14:paraId="2D92E4A1" w14:textId="7ECE1A2C" w:rsidR="0051128E" w:rsidRPr="0051128E" w:rsidRDefault="00995AEE" w:rsidP="0051128E">
      <w:pPr>
        <w:rPr>
          <w:lang w:val="en-US"/>
        </w:rPr>
      </w:pPr>
      <w:proofErr w:type="spellStart"/>
      <w:r w:rsidRPr="00995AEE">
        <w:rPr>
          <w:vertAlign w:val="superscript"/>
          <w:lang w:val="en-US"/>
        </w:rPr>
        <w:t>a</w:t>
      </w:r>
      <w:r w:rsidR="0051128E" w:rsidRPr="0051128E">
        <w:rPr>
          <w:lang w:val="en-US"/>
        </w:rPr>
        <w:t>Test</w:t>
      </w:r>
      <w:proofErr w:type="spellEnd"/>
      <w:r w:rsidR="0051128E" w:rsidRPr="0051128E">
        <w:rPr>
          <w:lang w:val="en-US"/>
        </w:rPr>
        <w:t xml:space="preserve"> terminated prematurely due to unknown cause</w:t>
      </w:r>
    </w:p>
    <w:p w14:paraId="7759BD8A" w14:textId="51DC3A49" w:rsidR="0051128E" w:rsidRPr="0051128E" w:rsidRDefault="00995AEE" w:rsidP="0051128E">
      <w:pPr>
        <w:rPr>
          <w:lang w:val="en-US"/>
        </w:rPr>
      </w:pPr>
      <w:proofErr w:type="spellStart"/>
      <w:r w:rsidRPr="00995AEE">
        <w:rPr>
          <w:vertAlign w:val="superscript"/>
          <w:lang w:val="en-US"/>
        </w:rPr>
        <w:t>b</w:t>
      </w:r>
      <w:r w:rsidR="0051128E" w:rsidRPr="0051128E">
        <w:rPr>
          <w:lang w:val="en-US"/>
        </w:rPr>
        <w:t>Test</w:t>
      </w:r>
      <w:proofErr w:type="spellEnd"/>
      <w:r w:rsidR="0051128E" w:rsidRPr="0051128E">
        <w:rPr>
          <w:lang w:val="en-US"/>
        </w:rPr>
        <w:t xml:space="preserve"> terminated due to large computational size of data</w:t>
      </w:r>
    </w:p>
    <w:p w14:paraId="6C4F7C3C" w14:textId="60E4D6E6" w:rsidR="0051128E" w:rsidRDefault="0051128E" w:rsidP="00B4015F"/>
    <w:p w14:paraId="461522CD" w14:textId="6B119516" w:rsidR="00045E8A" w:rsidRDefault="00045E8A" w:rsidP="00B4015F"/>
    <w:p w14:paraId="1C9167CD" w14:textId="10244AE1" w:rsidR="00045E8A" w:rsidRDefault="00045E8A" w:rsidP="00B4015F"/>
    <w:p w14:paraId="5B5948DE" w14:textId="3008CA66" w:rsidR="00045E8A" w:rsidRDefault="00045E8A" w:rsidP="00B4015F"/>
    <w:p w14:paraId="5C4989EA" w14:textId="0EF3AC5A" w:rsidR="00045E8A" w:rsidRDefault="00045E8A" w:rsidP="00B4015F"/>
    <w:p w14:paraId="3527B9A9" w14:textId="366DABBE" w:rsidR="00045E8A" w:rsidRDefault="00045E8A" w:rsidP="00B4015F"/>
    <w:p w14:paraId="28625CF6" w14:textId="661E52F8" w:rsidR="00045E8A" w:rsidRDefault="00045E8A" w:rsidP="00B4015F"/>
    <w:p w14:paraId="7143A03D" w14:textId="77777777" w:rsidR="00045E8A" w:rsidRPr="00045E8A" w:rsidRDefault="00045E8A" w:rsidP="00045E8A">
      <w:pPr>
        <w:jc w:val="center"/>
        <w:rPr>
          <w:lang w:val="en-US"/>
        </w:rPr>
      </w:pPr>
      <w:r w:rsidRPr="00045E8A">
        <w:rPr>
          <w:lang w:val="en-US"/>
        </w:rPr>
        <w:object w:dxaOrig="8445" w:dyaOrig="3810" w14:anchorId="683BA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5pt;height:190.5pt" o:ole="">
            <v:imagedata r:id="rId13" o:title=""/>
          </v:shape>
          <o:OLEObject Type="Embed" ProgID="FoxitReader.Document" ShapeID="_x0000_i1025" DrawAspect="Content" ObjectID="_1708819600" r:id="rId14"/>
        </w:object>
      </w:r>
    </w:p>
    <w:p w14:paraId="4A674556" w14:textId="77777777" w:rsidR="00045E8A" w:rsidRPr="00045E8A" w:rsidRDefault="00045E8A" w:rsidP="00045E8A">
      <w:pPr>
        <w:pStyle w:val="Caption"/>
        <w:rPr>
          <w:lang w:val="en-US"/>
        </w:rPr>
      </w:pPr>
      <w:bookmarkStart w:id="14" w:name="_Toc64291917"/>
      <w:r w:rsidRPr="00045E8A">
        <w:rPr>
          <w:lang w:val="en-US"/>
        </w:rPr>
        <w:t>Figure S4 shows mass spectrum of seasonal PMF primary organic aerosol (POA) factor in winter 2017. The whiskers in the graphs represent ±1 standard deviation (SD) of the reference spectra. The mass spectrum resembles the reference HOA profile.</w:t>
      </w:r>
      <w:bookmarkEnd w:id="14"/>
    </w:p>
    <w:p w14:paraId="76DBD3C6" w14:textId="77777777" w:rsidR="00045E8A" w:rsidRPr="00045E8A" w:rsidRDefault="00045E8A" w:rsidP="00045E8A">
      <w:pPr>
        <w:jc w:val="center"/>
        <w:rPr>
          <w:lang w:val="en-US"/>
        </w:rPr>
      </w:pPr>
      <w:r w:rsidRPr="00045E8A">
        <w:rPr>
          <w:lang w:val="en-US"/>
        </w:rPr>
        <w:object w:dxaOrig="8445" w:dyaOrig="3780" w14:anchorId="53369D76">
          <v:shape id="_x0000_i1026" type="#_x0000_t75" style="width:422.25pt;height:189pt" o:ole="">
            <v:imagedata r:id="rId15" o:title=""/>
          </v:shape>
          <o:OLEObject Type="Embed" ProgID="FoxitReader.Document" ShapeID="_x0000_i1026" DrawAspect="Content" ObjectID="_1708819601" r:id="rId16"/>
        </w:object>
      </w:r>
    </w:p>
    <w:p w14:paraId="6A584378" w14:textId="77777777" w:rsidR="00045E8A" w:rsidRPr="00045E8A" w:rsidRDefault="00045E8A" w:rsidP="00045E8A">
      <w:pPr>
        <w:pStyle w:val="Caption"/>
        <w:rPr>
          <w:lang w:val="en-US"/>
        </w:rPr>
      </w:pPr>
      <w:bookmarkStart w:id="15" w:name="_Toc64291918"/>
      <w:r w:rsidRPr="00045E8A">
        <w:rPr>
          <w:lang w:val="en-US"/>
        </w:rPr>
        <w:t>Figure S5 shows mass spectrum of seasonal PMF primary organic aerosol (POA) factor in monsoon 2017. The whiskers in the graphs represent ±1 SD of the reference spectra. The mass spectrum resembles the reference HOA profile.</w:t>
      </w:r>
      <w:bookmarkEnd w:id="15"/>
    </w:p>
    <w:p w14:paraId="0D2925FB" w14:textId="77777777" w:rsidR="002A6E54" w:rsidRPr="002A6E54" w:rsidRDefault="002A6E54" w:rsidP="002A6E54">
      <w:pPr>
        <w:jc w:val="center"/>
        <w:rPr>
          <w:lang w:val="en-US"/>
        </w:rPr>
      </w:pPr>
      <w:r w:rsidRPr="002A6E54">
        <w:rPr>
          <w:lang w:val="en-US"/>
        </w:rPr>
        <w:object w:dxaOrig="8485" w:dyaOrig="3750" w14:anchorId="30DF9A24">
          <v:shape id="_x0000_i1027" type="#_x0000_t75" style="width:424.25pt;height:187.5pt" o:ole="">
            <v:imagedata r:id="rId17" o:title=""/>
          </v:shape>
          <o:OLEObject Type="Embed" ProgID="FoxitReader.Document" ShapeID="_x0000_i1027" DrawAspect="Content" ObjectID="_1708819602" r:id="rId18"/>
        </w:object>
      </w:r>
    </w:p>
    <w:p w14:paraId="3461E037" w14:textId="2B68940E" w:rsidR="00045E8A" w:rsidRDefault="002A6E54" w:rsidP="002A6E54">
      <w:pPr>
        <w:pStyle w:val="Caption"/>
        <w:rPr>
          <w:lang w:val="en-US"/>
        </w:rPr>
      </w:pPr>
      <w:bookmarkStart w:id="16" w:name="_Toc64291919"/>
      <w:r w:rsidRPr="002A6E54">
        <w:rPr>
          <w:lang w:val="en-US"/>
        </w:rPr>
        <w:t>Figure S6 shows mass spectrum of seasonal PMF biomass burning organic aerosol (BBOA) factor in winter 2017. Whiskers in the graphs represent ±1 SD of the reference spectra. The mass spectrum resembles the reference BBOA profile.</w:t>
      </w:r>
      <w:bookmarkEnd w:id="16"/>
    </w:p>
    <w:p w14:paraId="632D41E0" w14:textId="77777777" w:rsidR="002A6E54" w:rsidRPr="002A6E54" w:rsidRDefault="002A6E54" w:rsidP="002A6E54">
      <w:pPr>
        <w:jc w:val="center"/>
        <w:rPr>
          <w:lang w:val="en-US"/>
        </w:rPr>
      </w:pPr>
      <w:r w:rsidRPr="002A6E54">
        <w:rPr>
          <w:lang w:val="en-US"/>
        </w:rPr>
        <w:object w:dxaOrig="8505" w:dyaOrig="8505" w14:anchorId="3AEAF7B2">
          <v:shape id="_x0000_i1028" type="#_x0000_t75" style="width:425.25pt;height:425.25pt" o:ole="">
            <v:imagedata r:id="rId19" o:title=""/>
          </v:shape>
          <o:OLEObject Type="Embed" ProgID="FoxitReader.Document" ShapeID="_x0000_i1028" DrawAspect="Content" ObjectID="_1708819603" r:id="rId20"/>
        </w:object>
      </w:r>
    </w:p>
    <w:p w14:paraId="66049B93" w14:textId="2350A2FD" w:rsidR="002A6E54" w:rsidRDefault="002A6E54" w:rsidP="002A6E54">
      <w:pPr>
        <w:pStyle w:val="Caption"/>
        <w:rPr>
          <w:lang w:val="en-US"/>
        </w:rPr>
      </w:pPr>
      <w:bookmarkStart w:id="17" w:name="_Toc64291920"/>
      <w:r w:rsidRPr="002A6E54">
        <w:rPr>
          <w:lang w:val="en-US"/>
        </w:rPr>
        <w:t>Figure S7 shows the time series correlations of the seasonal PMF factors’ TS and their fractions’ TS with external tracers for the season of winter 2017 (for expanded figure, see Supplementary File</w:t>
      </w:r>
      <w:r w:rsidR="008F0D18">
        <w:rPr>
          <w:lang w:val="en-US"/>
        </w:rPr>
        <w:t>-FigS7</w:t>
      </w:r>
      <w:r w:rsidRPr="002A6E54">
        <w:rPr>
          <w:lang w:val="en-US"/>
        </w:rPr>
        <w:t>).</w:t>
      </w:r>
      <w:bookmarkEnd w:id="17"/>
    </w:p>
    <w:p w14:paraId="248AA0AD" w14:textId="77777777" w:rsidR="002A6E54" w:rsidRPr="002A6E54" w:rsidRDefault="002A6E54" w:rsidP="002A6E54">
      <w:pPr>
        <w:jc w:val="center"/>
        <w:rPr>
          <w:lang w:val="en-US"/>
        </w:rPr>
      </w:pPr>
      <w:r w:rsidRPr="002A6E54">
        <w:rPr>
          <w:lang w:val="en-US"/>
        </w:rPr>
        <w:object w:dxaOrig="8505" w:dyaOrig="8505" w14:anchorId="64FBA234">
          <v:shape id="_x0000_i1029" type="#_x0000_t75" style="width:425.25pt;height:425.25pt" o:ole="">
            <v:imagedata r:id="rId21" o:title=""/>
          </v:shape>
          <o:OLEObject Type="Embed" ProgID="FoxitReader.Document" ShapeID="_x0000_i1029" DrawAspect="Content" ObjectID="_1708819604" r:id="rId22"/>
        </w:object>
      </w:r>
    </w:p>
    <w:p w14:paraId="652F67FE" w14:textId="3F71F2E2" w:rsidR="002A6E54" w:rsidRDefault="002A6E54" w:rsidP="002A6E54">
      <w:pPr>
        <w:pStyle w:val="Caption"/>
        <w:rPr>
          <w:lang w:val="en-US"/>
        </w:rPr>
      </w:pPr>
      <w:bookmarkStart w:id="18" w:name="_Toc64291921"/>
      <w:r w:rsidRPr="002A6E54">
        <w:rPr>
          <w:lang w:val="en-US"/>
        </w:rPr>
        <w:t>Figure S8 shows the time series correlations of the seasonal PMF factors’ TS and their fractions’ TS with external tracers for the season of monsoon 2017 (for expanded figure, see Supplementary File</w:t>
      </w:r>
      <w:r w:rsidR="008F0D18">
        <w:rPr>
          <w:lang w:val="en-US"/>
        </w:rPr>
        <w:t>-FigS8</w:t>
      </w:r>
      <w:r w:rsidRPr="002A6E54">
        <w:rPr>
          <w:lang w:val="en-US"/>
        </w:rPr>
        <w:t>).</w:t>
      </w:r>
      <w:bookmarkEnd w:id="18"/>
    </w:p>
    <w:p w14:paraId="5EEE043A" w14:textId="3E2852C3" w:rsidR="002A6E54" w:rsidRDefault="002A6E54" w:rsidP="002A6E54">
      <w:pPr>
        <w:rPr>
          <w:lang w:val="en-US"/>
        </w:rPr>
      </w:pPr>
    </w:p>
    <w:p w14:paraId="2BFBC5E7" w14:textId="3C809A73" w:rsidR="002A6E54" w:rsidRDefault="002A6E54" w:rsidP="002A6E54">
      <w:pPr>
        <w:rPr>
          <w:lang w:val="en-US"/>
        </w:rPr>
      </w:pPr>
    </w:p>
    <w:p w14:paraId="2CB2006D" w14:textId="552C5544" w:rsidR="002A6E54" w:rsidRDefault="002A6E54" w:rsidP="002A6E54">
      <w:pPr>
        <w:rPr>
          <w:lang w:val="en-US"/>
        </w:rPr>
      </w:pPr>
    </w:p>
    <w:p w14:paraId="20CFF343" w14:textId="7B6F2F42" w:rsidR="002A6E54" w:rsidRDefault="002A6E54" w:rsidP="002A6E54">
      <w:pPr>
        <w:rPr>
          <w:lang w:val="en-US"/>
        </w:rPr>
      </w:pPr>
    </w:p>
    <w:p w14:paraId="7374E3EB" w14:textId="0C6C71DF" w:rsidR="002A6E54" w:rsidRDefault="002A6E54" w:rsidP="002A6E54">
      <w:pPr>
        <w:rPr>
          <w:lang w:val="en-US"/>
        </w:rPr>
      </w:pPr>
    </w:p>
    <w:p w14:paraId="37592651" w14:textId="655A1F0C" w:rsidR="002A6E54" w:rsidRDefault="002A6E54" w:rsidP="002A6E54">
      <w:pPr>
        <w:rPr>
          <w:lang w:val="en-US"/>
        </w:rPr>
      </w:pPr>
    </w:p>
    <w:p w14:paraId="4D660E4A" w14:textId="70F2B5F7" w:rsidR="002A6E54" w:rsidRDefault="002A6E54" w:rsidP="002A6E54">
      <w:pPr>
        <w:rPr>
          <w:lang w:val="en-US"/>
        </w:rPr>
      </w:pPr>
    </w:p>
    <w:p w14:paraId="2AFBD29C" w14:textId="33F98575" w:rsidR="002A6E54" w:rsidRPr="002A6E54" w:rsidRDefault="002A6E54" w:rsidP="002A6E54">
      <w:pPr>
        <w:jc w:val="center"/>
        <w:rPr>
          <w:i/>
          <w:iCs/>
          <w:lang w:val="en-US"/>
        </w:rPr>
      </w:pPr>
      <w:r w:rsidRPr="002A6E54">
        <w:rPr>
          <w:lang w:val="en-US"/>
        </w:rPr>
        <w:object w:dxaOrig="8490" w:dyaOrig="7785" w14:anchorId="409B904E">
          <v:shape id="_x0000_i1030" type="#_x0000_t75" style="width:463.15pt;height:389.25pt" o:ole="">
            <v:imagedata r:id="rId23" o:title=""/>
          </v:shape>
          <o:OLEObject Type="Embed" ProgID="FoxitReader.Document" ShapeID="_x0000_i1030" DrawAspect="Content" ObjectID="_1708819605" r:id="rId24"/>
        </w:object>
      </w:r>
    </w:p>
    <w:p w14:paraId="19CB6F16" w14:textId="77777777" w:rsidR="002A6E54" w:rsidRPr="002A6E54" w:rsidRDefault="002A6E54" w:rsidP="002A6E54">
      <w:pPr>
        <w:pStyle w:val="Caption"/>
        <w:rPr>
          <w:lang w:val="en-US"/>
        </w:rPr>
      </w:pPr>
      <w:bookmarkStart w:id="19" w:name="_Toc64291922"/>
      <w:r w:rsidRPr="002A6E54">
        <w:rPr>
          <w:lang w:val="en-US"/>
        </w:rPr>
        <w:t>Figure S9 shows the hour-of-day on the day-of-week, seasonal diurnal, monthly, and week-of-day time series patterns for BBOA, chloride, BC</w:t>
      </w:r>
      <w:r w:rsidRPr="002A6E54">
        <w:rPr>
          <w:vertAlign w:val="subscript"/>
          <w:lang w:val="en-US"/>
        </w:rPr>
        <w:t>BB</w:t>
      </w:r>
      <w:r w:rsidRPr="002A6E54">
        <w:rPr>
          <w:lang w:val="en-US"/>
        </w:rPr>
        <w:t>, and ΔC for the seasonal PMF run of winter 2017.</w:t>
      </w:r>
      <w:bookmarkEnd w:id="19"/>
    </w:p>
    <w:p w14:paraId="72D25DF2" w14:textId="77777777" w:rsidR="009D4B01" w:rsidRPr="009D4B01" w:rsidRDefault="009D4B01" w:rsidP="009D4B01">
      <w:pPr>
        <w:jc w:val="center"/>
        <w:rPr>
          <w:lang w:val="en-US"/>
        </w:rPr>
      </w:pPr>
      <w:r w:rsidRPr="009D4B01">
        <w:rPr>
          <w:lang w:val="en-US"/>
        </w:rPr>
        <w:object w:dxaOrig="8485" w:dyaOrig="3885" w14:anchorId="454D7C58">
          <v:shape id="_x0000_i1031" type="#_x0000_t75" style="width:424.25pt;height:194.25pt" o:ole="">
            <v:imagedata r:id="rId25" o:title=""/>
          </v:shape>
          <o:OLEObject Type="Embed" ProgID="FoxitReader.Document" ShapeID="_x0000_i1031" DrawAspect="Content" ObjectID="_1708819606" r:id="rId26"/>
        </w:object>
      </w:r>
    </w:p>
    <w:p w14:paraId="0B6B0E8B" w14:textId="77777777" w:rsidR="009D4B01" w:rsidRPr="009D4B01" w:rsidRDefault="009D4B01" w:rsidP="009D4B01">
      <w:pPr>
        <w:jc w:val="center"/>
        <w:rPr>
          <w:lang w:val="en-US"/>
        </w:rPr>
      </w:pPr>
      <w:r w:rsidRPr="009D4B01">
        <w:rPr>
          <w:lang w:val="en-US"/>
        </w:rPr>
        <w:object w:dxaOrig="8640" w:dyaOrig="3885" w14:anchorId="48A81249">
          <v:shape id="_x0000_i1032" type="#_x0000_t75" style="width:6in;height:194.25pt" o:ole="">
            <v:imagedata r:id="rId27" o:title=""/>
          </v:shape>
          <o:OLEObject Type="Embed" ProgID="FoxitReader.Document" ShapeID="_x0000_i1032" DrawAspect="Content" ObjectID="_1708819607" r:id="rId28"/>
        </w:object>
      </w:r>
    </w:p>
    <w:p w14:paraId="2A3BA5FD" w14:textId="04717FBE" w:rsidR="002A6E54" w:rsidRDefault="009D4B01" w:rsidP="009D4B01">
      <w:pPr>
        <w:pStyle w:val="Caption"/>
        <w:rPr>
          <w:lang w:val="en-US"/>
        </w:rPr>
      </w:pPr>
      <w:bookmarkStart w:id="20" w:name="_Toc64291923"/>
      <w:r w:rsidRPr="009D4B01">
        <w:rPr>
          <w:lang w:val="en-US"/>
        </w:rPr>
        <w:t xml:space="preserve">Figure S10 shows the mass spectrum of seasonal PMF oxidized organic aerosol (OOA) factors: (a) local OOA and (b) regional OOA in winter 2017. Both MS are similar to the reference OOA factor. The whiskers in the graphs represent ±1 SD of the reference spectra. The two MS are at the two extremes for the range of contributions at </w:t>
      </w:r>
      <w:r w:rsidR="003C0805" w:rsidRPr="003C0805">
        <w:rPr>
          <w:i/>
          <w:iCs/>
          <w:lang w:val="en-US"/>
        </w:rPr>
        <w:t>m/z</w:t>
      </w:r>
      <w:r w:rsidRPr="009D4B01">
        <w:rPr>
          <w:lang w:val="en-US"/>
        </w:rPr>
        <w:t xml:space="preserve"> 44, pointing to the different oxidation state of aerosols.</w:t>
      </w:r>
      <w:bookmarkEnd w:id="20"/>
    </w:p>
    <w:p w14:paraId="562C59CF" w14:textId="2F8F8C37" w:rsidR="002A6E54" w:rsidRDefault="002A6E54" w:rsidP="002A6E54">
      <w:pPr>
        <w:rPr>
          <w:lang w:val="en-US"/>
        </w:rPr>
      </w:pPr>
    </w:p>
    <w:p w14:paraId="3102F7CB" w14:textId="0B3D9028" w:rsidR="002A6E54" w:rsidRDefault="002A6E54" w:rsidP="002A6E54">
      <w:pPr>
        <w:rPr>
          <w:lang w:val="en-US"/>
        </w:rPr>
      </w:pPr>
    </w:p>
    <w:p w14:paraId="3EB5442D" w14:textId="77777777" w:rsidR="009D4B01" w:rsidRPr="009D4B01" w:rsidRDefault="009D4B01" w:rsidP="009D4B01">
      <w:pPr>
        <w:jc w:val="center"/>
        <w:rPr>
          <w:lang w:val="en-US"/>
        </w:rPr>
      </w:pPr>
      <w:r w:rsidRPr="009D4B01">
        <w:rPr>
          <w:lang w:val="en-US"/>
        </w:rPr>
        <w:object w:dxaOrig="8640" w:dyaOrig="3885" w14:anchorId="567702AB">
          <v:shape id="_x0000_i1033" type="#_x0000_t75" style="width:6in;height:194.25pt" o:ole="">
            <v:imagedata r:id="rId29" o:title=""/>
          </v:shape>
          <o:OLEObject Type="Embed" ProgID="FoxitReader.Document" ShapeID="_x0000_i1033" DrawAspect="Content" ObjectID="_1708819608" r:id="rId30"/>
        </w:object>
      </w:r>
    </w:p>
    <w:p w14:paraId="4B053C87" w14:textId="77777777" w:rsidR="009D4B01" w:rsidRPr="009D4B01" w:rsidRDefault="009D4B01" w:rsidP="009D4B01">
      <w:pPr>
        <w:jc w:val="center"/>
        <w:rPr>
          <w:lang w:val="en-US"/>
        </w:rPr>
      </w:pPr>
      <w:r w:rsidRPr="009D4B01">
        <w:rPr>
          <w:lang w:val="en-US"/>
        </w:rPr>
        <w:object w:dxaOrig="8640" w:dyaOrig="3885" w14:anchorId="2EAE4DA9">
          <v:shape id="_x0000_i1034" type="#_x0000_t75" style="width:6in;height:194.25pt" o:ole="">
            <v:imagedata r:id="rId31" o:title=""/>
          </v:shape>
          <o:OLEObject Type="Embed" ProgID="FoxitReader.Document" ShapeID="_x0000_i1034" DrawAspect="Content" ObjectID="_1708819609" r:id="rId32"/>
        </w:object>
      </w:r>
    </w:p>
    <w:p w14:paraId="47664018" w14:textId="074248CF" w:rsidR="009D4B01" w:rsidRDefault="009D4B01" w:rsidP="009D4B01">
      <w:pPr>
        <w:pStyle w:val="Caption"/>
        <w:rPr>
          <w:lang w:val="en-US"/>
        </w:rPr>
      </w:pPr>
      <w:bookmarkStart w:id="21" w:name="_Toc64291924"/>
      <w:r w:rsidRPr="009D4B01">
        <w:rPr>
          <w:lang w:val="en-US"/>
        </w:rPr>
        <w:t xml:space="preserve">Figure S11 shows the mass spectrum of seasonal PMF oxidized organic aerosol (OOA) factors: (a) local OOA and (b) regional OOA in monsoon 2017. Both MS are similar to the reference OOA factor. The whiskers in the graphs represent ±1 SD of the reference spectra. The two MS are at the two extremes for the range of contributions at </w:t>
      </w:r>
      <w:r w:rsidR="003C0805" w:rsidRPr="003C0805">
        <w:rPr>
          <w:i/>
          <w:iCs/>
          <w:lang w:val="en-US"/>
        </w:rPr>
        <w:t>m/z</w:t>
      </w:r>
      <w:r w:rsidRPr="009D4B01">
        <w:rPr>
          <w:lang w:val="en-US"/>
        </w:rPr>
        <w:t xml:space="preserve"> 44, pointing to the different oxidation state of aerosols.</w:t>
      </w:r>
      <w:bookmarkEnd w:id="21"/>
    </w:p>
    <w:p w14:paraId="466371B3" w14:textId="5DAAC8B5" w:rsidR="002A6E54" w:rsidRDefault="002A6E54" w:rsidP="002A6E54">
      <w:pPr>
        <w:rPr>
          <w:lang w:val="en-US"/>
        </w:rPr>
      </w:pPr>
    </w:p>
    <w:p w14:paraId="7BE29E84" w14:textId="18EB2B21" w:rsidR="002A6E54" w:rsidRDefault="002A6E54" w:rsidP="002A6E54">
      <w:pPr>
        <w:rPr>
          <w:lang w:val="en-US"/>
        </w:rPr>
      </w:pPr>
    </w:p>
    <w:p w14:paraId="10E24F8E" w14:textId="4C866120" w:rsidR="002A6E54" w:rsidRDefault="002A6E54" w:rsidP="002A6E54">
      <w:pPr>
        <w:rPr>
          <w:lang w:val="en-US"/>
        </w:rPr>
      </w:pPr>
    </w:p>
    <w:p w14:paraId="5A48E7EF" w14:textId="441D6953" w:rsidR="002A6E54" w:rsidRDefault="002A6E54" w:rsidP="002A6E54">
      <w:pPr>
        <w:rPr>
          <w:lang w:val="en-US"/>
        </w:rPr>
      </w:pPr>
    </w:p>
    <w:p w14:paraId="08C2886B" w14:textId="77777777" w:rsidR="009D4B01" w:rsidRPr="009D4B01" w:rsidRDefault="009D4B01" w:rsidP="009D4B01">
      <w:pPr>
        <w:jc w:val="center"/>
        <w:rPr>
          <w:lang w:val="en-US"/>
        </w:rPr>
      </w:pPr>
      <w:r w:rsidRPr="009D4B01">
        <w:rPr>
          <w:lang w:val="en-US"/>
        </w:rPr>
        <w:object w:dxaOrig="8490" w:dyaOrig="7925" w14:anchorId="0E29331C">
          <v:shape id="_x0000_i1035" type="#_x0000_t75" style="width:424.5pt;height:396.25pt" o:ole="">
            <v:imagedata r:id="rId33" o:title=""/>
          </v:shape>
          <o:OLEObject Type="Embed" ProgID="FoxitReader.Document" ShapeID="_x0000_i1035" DrawAspect="Content" ObjectID="_1708819610" r:id="rId34"/>
        </w:object>
      </w:r>
    </w:p>
    <w:p w14:paraId="29F83283" w14:textId="77777777" w:rsidR="009D4B01" w:rsidRPr="009D4B01" w:rsidRDefault="009D4B01" w:rsidP="009D4B01">
      <w:pPr>
        <w:pStyle w:val="Caption"/>
        <w:rPr>
          <w:lang w:val="en-US"/>
        </w:rPr>
      </w:pPr>
      <w:bookmarkStart w:id="22" w:name="_Toc64291925"/>
      <w:r w:rsidRPr="009D4B01">
        <w:rPr>
          <w:lang w:val="en-US"/>
        </w:rPr>
        <w:t>Figure S12 shows the hour-of-day on the day-of-week, seasonal diurnal, monthly, and week-of-day time series patterns for local OOA and regional OOA for the seasonal PMF run of winter 2017. Clearly, regional OOA is less variable diurnally than local OOA.</w:t>
      </w:r>
      <w:bookmarkEnd w:id="22"/>
    </w:p>
    <w:p w14:paraId="31B68390" w14:textId="77777777" w:rsidR="009D4B01" w:rsidRPr="009D4B01" w:rsidRDefault="009D4B01" w:rsidP="009D4B01">
      <w:pPr>
        <w:rPr>
          <w:lang w:val="en-US"/>
        </w:rPr>
      </w:pPr>
    </w:p>
    <w:p w14:paraId="41E1F917" w14:textId="77777777" w:rsidR="009D4B01" w:rsidRPr="009D4B01" w:rsidRDefault="009D4B01" w:rsidP="009D4B01">
      <w:pPr>
        <w:rPr>
          <w:lang w:val="en-US"/>
        </w:rPr>
      </w:pPr>
    </w:p>
    <w:p w14:paraId="151DAFAA" w14:textId="77777777" w:rsidR="009D4B01" w:rsidRPr="009D4B01" w:rsidRDefault="009D4B01" w:rsidP="009D4B01">
      <w:pPr>
        <w:rPr>
          <w:lang w:val="en-US"/>
        </w:rPr>
      </w:pPr>
    </w:p>
    <w:p w14:paraId="2EE8CB19" w14:textId="77777777" w:rsidR="009D4B01" w:rsidRPr="009D4B01" w:rsidRDefault="009D4B01" w:rsidP="009D4B01">
      <w:pPr>
        <w:jc w:val="center"/>
        <w:rPr>
          <w:lang w:val="en-US"/>
        </w:rPr>
      </w:pPr>
      <w:r w:rsidRPr="009D4B01">
        <w:rPr>
          <w:lang w:val="en-US"/>
        </w:rPr>
        <w:object w:dxaOrig="8205" w:dyaOrig="7785" w14:anchorId="5D9A6FDE">
          <v:shape id="_x0000_i1036" type="#_x0000_t75" style="width:410.25pt;height:389.25pt" o:ole="">
            <v:imagedata r:id="rId35" o:title=""/>
          </v:shape>
          <o:OLEObject Type="Embed" ProgID="FoxitReader.Document" ShapeID="_x0000_i1036" DrawAspect="Content" ObjectID="_1708819611" r:id="rId36"/>
        </w:object>
      </w:r>
    </w:p>
    <w:p w14:paraId="33C45CB8" w14:textId="77777777" w:rsidR="009D4B01" w:rsidRPr="009D4B01" w:rsidRDefault="009D4B01" w:rsidP="009D4B01">
      <w:pPr>
        <w:pStyle w:val="Caption"/>
        <w:rPr>
          <w:lang w:val="en-US"/>
        </w:rPr>
      </w:pPr>
      <w:bookmarkStart w:id="23" w:name="_Toc64291926"/>
      <w:r w:rsidRPr="009D4B01">
        <w:rPr>
          <w:lang w:val="en-US"/>
        </w:rPr>
        <w:t>Figure S13 shows the hour-of-day on the day-of-week, seasonal diurnal, monthly, and week-of-day time series patterns for local OOA and regional OOA for the seasonal PMF run of monsoon 2017. Clearly, regional OOA is less variable diurnally than local OOA.</w:t>
      </w:r>
      <w:bookmarkEnd w:id="23"/>
    </w:p>
    <w:p w14:paraId="375E7EBA" w14:textId="42301558" w:rsidR="002A6E54" w:rsidRDefault="002A6E54" w:rsidP="002A6E54">
      <w:pPr>
        <w:rPr>
          <w:lang w:val="en-US"/>
        </w:rPr>
      </w:pPr>
    </w:p>
    <w:p w14:paraId="49AFA124" w14:textId="452A94A6" w:rsidR="002A6E54" w:rsidRDefault="002A6E54" w:rsidP="002A6E54">
      <w:pPr>
        <w:rPr>
          <w:lang w:val="en-US"/>
        </w:rPr>
      </w:pPr>
    </w:p>
    <w:p w14:paraId="0D956B0A" w14:textId="120AA6D0" w:rsidR="009D4B01" w:rsidRDefault="009D4B01" w:rsidP="002A6E54">
      <w:pPr>
        <w:rPr>
          <w:lang w:val="en-US"/>
        </w:rPr>
      </w:pPr>
    </w:p>
    <w:p w14:paraId="3DAE441E" w14:textId="1F693784" w:rsidR="009D4B01" w:rsidRDefault="009D4B01" w:rsidP="002A6E54">
      <w:pPr>
        <w:rPr>
          <w:lang w:val="en-US"/>
        </w:rPr>
      </w:pPr>
    </w:p>
    <w:p w14:paraId="22837E73" w14:textId="4C4844FC" w:rsidR="009D4B01" w:rsidRDefault="009D4B01" w:rsidP="002A6E54">
      <w:pPr>
        <w:rPr>
          <w:lang w:val="en-US"/>
        </w:rPr>
      </w:pPr>
    </w:p>
    <w:p w14:paraId="0B8B57D5" w14:textId="60889C81" w:rsidR="009D4B01" w:rsidRDefault="009D4B01" w:rsidP="002A6E54">
      <w:pPr>
        <w:rPr>
          <w:lang w:val="en-US"/>
        </w:rPr>
      </w:pPr>
    </w:p>
    <w:p w14:paraId="73E8EE1B" w14:textId="4F726B61" w:rsidR="009D4B01" w:rsidRDefault="009D4B01" w:rsidP="002A6E54">
      <w:pPr>
        <w:rPr>
          <w:lang w:val="en-US"/>
        </w:rPr>
      </w:pPr>
    </w:p>
    <w:p w14:paraId="738E4ED0" w14:textId="52BD6876" w:rsidR="009D4B01" w:rsidRDefault="009D4B01" w:rsidP="002A6E54">
      <w:pPr>
        <w:rPr>
          <w:lang w:val="en-US"/>
        </w:rPr>
      </w:pPr>
    </w:p>
    <w:p w14:paraId="22879C56" w14:textId="77777777" w:rsidR="009D4B01" w:rsidRPr="009D4B01" w:rsidRDefault="009D4B01" w:rsidP="009D4B01">
      <w:pPr>
        <w:pStyle w:val="Heading2"/>
        <w:rPr>
          <w:lang w:val="en-US"/>
        </w:rPr>
      </w:pPr>
      <w:bookmarkStart w:id="24" w:name="_Toc64291796"/>
      <w:r w:rsidRPr="009D4B01">
        <w:rPr>
          <w:lang w:val="en-US"/>
        </w:rPr>
        <w:t>S3 Detailed 15 min time series patterns of seasonal PMF factors at lunch and nighttime</w:t>
      </w:r>
      <w:bookmarkEnd w:id="24"/>
      <w:r w:rsidRPr="009D4B01">
        <w:rPr>
          <w:lang w:val="en-US"/>
        </w:rPr>
        <w:t xml:space="preserve"> </w:t>
      </w:r>
    </w:p>
    <w:p w14:paraId="47854989" w14:textId="77777777" w:rsidR="009D4B01" w:rsidRPr="009D4B01" w:rsidRDefault="009D4B01" w:rsidP="009D4B01">
      <w:pPr>
        <w:rPr>
          <w:lang w:val="en-US"/>
        </w:rPr>
      </w:pPr>
      <w:r w:rsidRPr="009D4B01">
        <w:rPr>
          <w:lang w:val="en-US"/>
        </w:rPr>
        <w:t xml:space="preserve">Time series patterns exhibit contrasting behavior in winter and monsoon. In winter, seasonal PMF POA time series patterns exhibit strong variability at lunch but remain relatively stable at nighttime (Fig. S14a–f). At winter lunch, concentrations of both HOA and BBOA exhibit a monotonically decreasing pattern. In this period, winter peak HOA and BBOA concentrations are </w:t>
      </w:r>
      <w:r w:rsidRPr="009D4B01">
        <w:rPr>
          <w:rFonts w:ascii="Cambria Math" w:hAnsi="Cambria Math" w:cs="Cambria Math"/>
          <w:lang w:val="en-US"/>
        </w:rPr>
        <w:t>∼</w:t>
      </w:r>
      <w:r w:rsidRPr="009D4B01">
        <w:rPr>
          <w:lang w:val="en-US"/>
        </w:rPr>
        <w:t xml:space="preserve">6 and </w:t>
      </w:r>
      <w:r w:rsidRPr="009D4B01">
        <w:rPr>
          <w:rFonts w:ascii="Cambria Math" w:hAnsi="Cambria Math" w:cs="Cambria Math"/>
          <w:lang w:val="en-US"/>
        </w:rPr>
        <w:t>∼</w:t>
      </w:r>
      <w:r w:rsidRPr="009D4B01">
        <w:rPr>
          <w:lang w:val="en-US"/>
        </w:rPr>
        <w:t xml:space="preserve">3 times the period minimum, respectively (Figs. S14b–c). At winter night, concentrations of HOA and BBOA are higher than lunchtime by a factor of </w:t>
      </w:r>
      <w:r w:rsidRPr="009D4B01">
        <w:rPr>
          <w:rFonts w:ascii="Cambria Math" w:hAnsi="Cambria Math" w:cs="Cambria Math"/>
          <w:lang w:val="en-US"/>
        </w:rPr>
        <w:t>∼</w:t>
      </w:r>
      <w:r w:rsidRPr="009D4B01">
        <w:rPr>
          <w:lang w:val="en-US"/>
        </w:rPr>
        <w:t xml:space="preserve">14 and </w:t>
      </w:r>
      <w:r w:rsidRPr="009D4B01">
        <w:rPr>
          <w:rFonts w:ascii="Cambria Math" w:hAnsi="Cambria Math" w:cs="Cambria Math"/>
          <w:lang w:val="en-US"/>
        </w:rPr>
        <w:t>∼</w:t>
      </w:r>
      <w:r w:rsidRPr="009D4B01">
        <w:rPr>
          <w:lang w:val="en-US"/>
        </w:rPr>
        <w:t xml:space="preserve">4, respectively, and are comparatively stable; peak concentrations at night are only </w:t>
      </w:r>
      <w:r w:rsidRPr="009D4B01">
        <w:rPr>
          <w:rFonts w:ascii="Cambria Math" w:hAnsi="Cambria Math" w:cs="Cambria Math"/>
          <w:lang w:val="en-US"/>
        </w:rPr>
        <w:t>∼</w:t>
      </w:r>
      <w:r w:rsidRPr="009D4B01">
        <w:rPr>
          <w:lang w:val="en-US"/>
        </w:rPr>
        <w:t>2 times the period minimum (Figs. S14e–f). In contrast, monsoon POA exhibits relatively stable lunchtime (peak POA</w:t>
      </w:r>
      <w:r w:rsidRPr="009D4B01">
        <w:rPr>
          <w:rFonts w:ascii="Cambria Math" w:hAnsi="Cambria Math" w:cs="Cambria Math"/>
          <w:lang w:val="en-US"/>
        </w:rPr>
        <w:t>∼</w:t>
      </w:r>
      <w:r w:rsidRPr="009D4B01">
        <w:rPr>
          <w:lang w:val="en-US"/>
        </w:rPr>
        <w:t>2 times the period minimum) and variable nighttime (peak POA</w:t>
      </w:r>
      <w:r w:rsidRPr="009D4B01">
        <w:rPr>
          <w:rFonts w:ascii="Cambria Math" w:hAnsi="Cambria Math" w:cs="Cambria Math"/>
          <w:lang w:val="en-US"/>
        </w:rPr>
        <w:t>∼</w:t>
      </w:r>
      <w:r w:rsidRPr="009D4B01">
        <w:rPr>
          <w:lang w:val="en-US"/>
        </w:rPr>
        <w:t xml:space="preserve">3 times the period minimum) patterns, with nighttime concentrations higher than lunchtime by a factor of </w:t>
      </w:r>
      <w:r w:rsidRPr="009D4B01">
        <w:rPr>
          <w:rFonts w:ascii="Cambria Math" w:hAnsi="Cambria Math" w:cs="Cambria Math"/>
          <w:lang w:val="en-US"/>
        </w:rPr>
        <w:t>∼</w:t>
      </w:r>
      <w:r w:rsidRPr="009D4B01">
        <w:rPr>
          <w:lang w:val="en-US"/>
        </w:rPr>
        <w:t>3.5 (Fig. S15a, c). These dynamics could be explained by the differences in ventilation coefficient, source strength, reaction chemistry, and the effect of temperature on partitioning (Bhandari et al, 2020). The large mean–median difference in POA factors suggests the influence of episodes. Compared to POA, OOA time series patterns are relatively stable (Figs. S14c, f). In winter, at lunch, the local OOA factor (peak OOA</w:t>
      </w:r>
      <w:r w:rsidRPr="009D4B01">
        <w:rPr>
          <w:rFonts w:ascii="Cambria Math" w:hAnsi="Cambria Math" w:cs="Cambria Math"/>
          <w:lang w:val="en-US"/>
        </w:rPr>
        <w:t>∼</w:t>
      </w:r>
      <w:r w:rsidRPr="009D4B01">
        <w:rPr>
          <w:lang w:val="en-US"/>
        </w:rPr>
        <w:t>2.5 x period minimum) has a stronger variability than the regional OOA factor (peak OOA</w:t>
      </w:r>
      <w:r w:rsidRPr="009D4B01">
        <w:rPr>
          <w:rFonts w:ascii="Cambria Math" w:hAnsi="Cambria Math" w:cs="Cambria Math"/>
          <w:lang w:val="en-US"/>
        </w:rPr>
        <w:t>∼</w:t>
      </w:r>
      <w:r w:rsidRPr="009D4B01">
        <w:rPr>
          <w:lang w:val="en-US"/>
        </w:rPr>
        <w:t>2 x period minimum), but the OOA factors both show a similar monotonically decreasing trend (Fig. S14c). At winter night, we observe no trends in OOA factors (Fig. S14f). Monsoon OOA factors show behavior similar to POA factors (Fig. S15b, d). Local and regional OOA at lunch and at nighttime exhibit very limited variability (peak OOA</w:t>
      </w:r>
      <w:r w:rsidRPr="009D4B01">
        <w:rPr>
          <w:rFonts w:ascii="Cambria Math" w:hAnsi="Cambria Math" w:cs="Cambria Math"/>
          <w:lang w:val="en-US"/>
        </w:rPr>
        <w:t>∼</w:t>
      </w:r>
      <w:r w:rsidRPr="009D4B01">
        <w:rPr>
          <w:lang w:val="en-US"/>
        </w:rPr>
        <w:t>≤1.5 x period minimum).</w:t>
      </w:r>
    </w:p>
    <w:p w14:paraId="72076B64" w14:textId="77777777" w:rsidR="009D4B01" w:rsidRPr="009D4B01" w:rsidRDefault="009D4B01" w:rsidP="009D4B01">
      <w:pPr>
        <w:jc w:val="center"/>
        <w:rPr>
          <w:lang w:val="en-US"/>
        </w:rPr>
      </w:pPr>
      <w:r w:rsidRPr="009D4B01">
        <w:rPr>
          <w:lang w:val="en-US"/>
        </w:rPr>
        <w:object w:dxaOrig="4320" w:dyaOrig="2445" w14:anchorId="7D049EEF">
          <v:shape id="_x0000_i1037" type="#_x0000_t75" style="width:3in;height:122.25pt" o:ole="">
            <v:imagedata r:id="rId37" o:title=""/>
          </v:shape>
          <o:OLEObject Type="Embed" ProgID="FoxitReader.Document" ShapeID="_x0000_i1037" DrawAspect="Content" ObjectID="_1708819612" r:id="rId38"/>
        </w:object>
      </w:r>
      <w:r w:rsidRPr="009D4B01">
        <w:rPr>
          <w:lang w:val="en-US"/>
        </w:rPr>
        <w:object w:dxaOrig="4320" w:dyaOrig="2445" w14:anchorId="35522EA3">
          <v:shape id="_x0000_i1038" type="#_x0000_t75" style="width:3in;height:122.25pt" o:ole="">
            <v:imagedata r:id="rId39" o:title=""/>
          </v:shape>
          <o:OLEObject Type="Embed" ProgID="FoxitReader.Document" ShapeID="_x0000_i1038" DrawAspect="Content" ObjectID="_1708819613" r:id="rId40"/>
        </w:object>
      </w:r>
    </w:p>
    <w:p w14:paraId="21AFCBA6" w14:textId="64691A5E" w:rsidR="009D4B01" w:rsidRPr="009D4B01" w:rsidRDefault="009D4B01" w:rsidP="009D4B01">
      <w:pPr>
        <w:jc w:val="center"/>
        <w:rPr>
          <w:lang w:val="en-US"/>
        </w:rPr>
      </w:pPr>
      <w:r w:rsidRPr="009D4B01">
        <w:rPr>
          <w:lang w:val="en-US"/>
        </w:rPr>
        <w:object w:dxaOrig="4170" w:dyaOrig="2445" w14:anchorId="2CD3E7C7">
          <v:shape id="_x0000_i1039" type="#_x0000_t75" style="width:217.65pt;height:127.5pt" o:ole="">
            <v:imagedata r:id="rId41" o:title=""/>
          </v:shape>
          <o:OLEObject Type="Embed" ProgID="FoxitReader.Document" ShapeID="_x0000_i1039" DrawAspect="Content" ObjectID="_1708819614" r:id="rId42"/>
        </w:object>
      </w:r>
      <w:r w:rsidRPr="009D4B01">
        <w:rPr>
          <w:lang w:val="en-US"/>
        </w:rPr>
        <w:object w:dxaOrig="4320" w:dyaOrig="2445" w14:anchorId="586F787C">
          <v:shape id="_x0000_i1040" type="#_x0000_t75" style="width:221.4pt;height:125.3pt" o:ole="">
            <v:imagedata r:id="rId43" o:title=""/>
          </v:shape>
          <o:OLEObject Type="Embed" ProgID="FoxitReader.Document" ShapeID="_x0000_i1040" DrawAspect="Content" ObjectID="_1708819615" r:id="rId44"/>
        </w:object>
      </w:r>
    </w:p>
    <w:p w14:paraId="70245D91" w14:textId="6577C85D" w:rsidR="009D4B01" w:rsidRPr="009D4B01" w:rsidRDefault="009D4B01" w:rsidP="009D4B01">
      <w:pPr>
        <w:jc w:val="center"/>
        <w:rPr>
          <w:lang w:val="en-US"/>
        </w:rPr>
      </w:pPr>
      <w:r w:rsidRPr="009D4B01">
        <w:rPr>
          <w:lang w:val="en-US"/>
        </w:rPr>
        <w:object w:dxaOrig="4320" w:dyaOrig="2445" w14:anchorId="476E19EB">
          <v:shape id="_x0000_i1041" type="#_x0000_t75" style="width:224pt;height:126.75pt" o:ole="">
            <v:imagedata r:id="rId45" o:title=""/>
          </v:shape>
          <o:OLEObject Type="Embed" ProgID="FoxitReader.Document" ShapeID="_x0000_i1041" DrawAspect="Content" ObjectID="_1708819616" r:id="rId46"/>
        </w:object>
      </w:r>
      <w:r w:rsidRPr="009D4B01">
        <w:rPr>
          <w:lang w:val="en-US"/>
        </w:rPr>
        <w:object w:dxaOrig="4320" w:dyaOrig="2445" w14:anchorId="65E52349">
          <v:shape id="_x0000_i1042" type="#_x0000_t75" style="width:223.55pt;height:126.55pt" o:ole="">
            <v:imagedata r:id="rId47" o:title=""/>
          </v:shape>
          <o:OLEObject Type="Embed" ProgID="FoxitReader.Document" ShapeID="_x0000_i1042" DrawAspect="Content" ObjectID="_1708819617" r:id="rId48"/>
        </w:object>
      </w:r>
    </w:p>
    <w:p w14:paraId="475D51C2" w14:textId="338CCFC6" w:rsidR="009D4B01" w:rsidRDefault="009D4B01" w:rsidP="009D4B01">
      <w:pPr>
        <w:pStyle w:val="Caption"/>
        <w:rPr>
          <w:lang w:val="en-US"/>
        </w:rPr>
      </w:pPr>
      <w:bookmarkStart w:id="25" w:name="_Toc64291927"/>
      <w:r w:rsidRPr="009D4B01">
        <w:rPr>
          <w:lang w:val="en-US"/>
        </w:rPr>
        <w:t>Figure S14 shows 15 min averaged seasonally representative concentration time series of seasonal PMF factors for the periods: (a)-(c) W171115 and (d)-(f) W172303. Nighttime POA factors show stronger evidence of episodes</w:t>
      </w:r>
      <w:bookmarkEnd w:id="25"/>
      <w:r w:rsidR="00D07505">
        <w:rPr>
          <w:lang w:val="en-US"/>
        </w:rPr>
        <w:t xml:space="preserve"> </w:t>
      </w:r>
      <w:r w:rsidR="00D07505" w:rsidRPr="001179E3">
        <w:t>(</w:t>
      </w:r>
      <w:r w:rsidR="00D07505">
        <w:t xml:space="preserve">in </w:t>
      </w:r>
      <w:r w:rsidR="00D07505" w:rsidRPr="001179E3">
        <w:t>µgm</w:t>
      </w:r>
      <w:r w:rsidR="00D07505" w:rsidRPr="001179E3">
        <w:rPr>
          <w:vertAlign w:val="superscript"/>
        </w:rPr>
        <w:t>-3</w:t>
      </w:r>
      <w:r w:rsidR="00D07505" w:rsidRPr="001179E3">
        <w:t>).</w:t>
      </w:r>
    </w:p>
    <w:p w14:paraId="0EA4A757" w14:textId="77777777" w:rsidR="009D4B01" w:rsidRPr="009D4B01" w:rsidRDefault="009D4B01" w:rsidP="009D4B01">
      <w:pPr>
        <w:jc w:val="center"/>
        <w:rPr>
          <w:lang w:val="en-US"/>
        </w:rPr>
      </w:pPr>
      <w:r w:rsidRPr="009D4B01">
        <w:rPr>
          <w:lang w:val="en-US"/>
        </w:rPr>
        <w:object w:dxaOrig="4320" w:dyaOrig="2445" w14:anchorId="3C0D79EC">
          <v:shape id="_x0000_i1043" type="#_x0000_t75" style="width:3in;height:122.25pt" o:ole="">
            <v:imagedata r:id="rId49" o:title=""/>
          </v:shape>
          <o:OLEObject Type="Embed" ProgID="FoxitReader.Document" ShapeID="_x0000_i1043" DrawAspect="Content" ObjectID="_1708819618" r:id="rId50"/>
        </w:object>
      </w:r>
      <w:r w:rsidRPr="009D4B01">
        <w:rPr>
          <w:lang w:val="en-US"/>
        </w:rPr>
        <w:object w:dxaOrig="4170" w:dyaOrig="2445" w14:anchorId="6C0B16C4">
          <v:shape id="_x0000_i1044" type="#_x0000_t75" style="width:208.5pt;height:122.25pt" o:ole="">
            <v:imagedata r:id="rId51" o:title=""/>
          </v:shape>
          <o:OLEObject Type="Embed" ProgID="FoxitReader.Document" ShapeID="_x0000_i1044" DrawAspect="Content" ObjectID="_1708819619" r:id="rId52"/>
        </w:object>
      </w:r>
    </w:p>
    <w:p w14:paraId="5DB47CB9" w14:textId="77777777" w:rsidR="009D4B01" w:rsidRPr="009D4B01" w:rsidRDefault="009D4B01" w:rsidP="009D4B01">
      <w:pPr>
        <w:jc w:val="center"/>
        <w:rPr>
          <w:lang w:val="en-US"/>
        </w:rPr>
      </w:pPr>
      <w:r w:rsidRPr="009D4B01">
        <w:rPr>
          <w:lang w:val="en-US"/>
        </w:rPr>
        <w:object w:dxaOrig="4170" w:dyaOrig="2445" w14:anchorId="00755AB6">
          <v:shape id="_x0000_i1045" type="#_x0000_t75" style="width:208.5pt;height:122.25pt" o:ole="">
            <v:imagedata r:id="rId53" o:title=""/>
          </v:shape>
          <o:OLEObject Type="Embed" ProgID="FoxitReader.Document" ShapeID="_x0000_i1045" DrawAspect="Content" ObjectID="_1708819620" r:id="rId54"/>
        </w:object>
      </w:r>
      <w:r w:rsidRPr="009D4B01">
        <w:rPr>
          <w:lang w:val="en-US"/>
        </w:rPr>
        <w:object w:dxaOrig="4320" w:dyaOrig="2445" w14:anchorId="3125B52F">
          <v:shape id="_x0000_i1046" type="#_x0000_t75" style="width:3in;height:122.25pt" o:ole="">
            <v:imagedata r:id="rId55" o:title=""/>
          </v:shape>
          <o:OLEObject Type="Embed" ProgID="FoxitReader.Document" ShapeID="_x0000_i1046" DrawAspect="Content" ObjectID="_1708819621" r:id="rId56"/>
        </w:object>
      </w:r>
    </w:p>
    <w:p w14:paraId="32AB3276" w14:textId="286FD9F7" w:rsidR="002A6E54" w:rsidRDefault="009D4B01" w:rsidP="009D4B01">
      <w:pPr>
        <w:pStyle w:val="Caption"/>
        <w:rPr>
          <w:lang w:val="en-US"/>
        </w:rPr>
      </w:pPr>
      <w:bookmarkStart w:id="26" w:name="_Toc64291928"/>
      <w:r w:rsidRPr="009D4B01">
        <w:rPr>
          <w:lang w:val="en-US"/>
        </w:rPr>
        <w:t>Figure S15 shows 15 min averaged seasonally representative concentration time series of seasonal PMF factors for the periods: (a)-(b) M171115 and (c)-(d) M172303. Nighttime POA factors show stronger evidence of episodes</w:t>
      </w:r>
      <w:bookmarkEnd w:id="26"/>
      <w:r w:rsidR="00D07505">
        <w:rPr>
          <w:lang w:val="en-US"/>
        </w:rPr>
        <w:t xml:space="preserve"> </w:t>
      </w:r>
      <w:r w:rsidR="00D07505" w:rsidRPr="001179E3">
        <w:t>(</w:t>
      </w:r>
      <w:r w:rsidR="00D07505">
        <w:t xml:space="preserve">in </w:t>
      </w:r>
      <w:r w:rsidR="00D07505" w:rsidRPr="001179E3">
        <w:t>µgm</w:t>
      </w:r>
      <w:r w:rsidR="00D07505" w:rsidRPr="001179E3">
        <w:rPr>
          <w:vertAlign w:val="superscript"/>
        </w:rPr>
        <w:t>-3</w:t>
      </w:r>
      <w:r w:rsidR="00D07505" w:rsidRPr="001179E3">
        <w:t>).</w:t>
      </w:r>
    </w:p>
    <w:p w14:paraId="0B2E120E" w14:textId="587B3B0D" w:rsidR="009D4B01" w:rsidRDefault="009D4B01" w:rsidP="009D4B01">
      <w:pPr>
        <w:rPr>
          <w:lang w:val="en-US"/>
        </w:rPr>
      </w:pPr>
    </w:p>
    <w:p w14:paraId="0A95495A" w14:textId="4CBBAB28" w:rsidR="00D17215" w:rsidRDefault="00D17215" w:rsidP="009D4B01">
      <w:pPr>
        <w:rPr>
          <w:lang w:val="en-US"/>
        </w:rPr>
      </w:pPr>
    </w:p>
    <w:p w14:paraId="56A1F01A" w14:textId="27FBE4CA" w:rsidR="00D17215" w:rsidRDefault="00D17215" w:rsidP="009D4B01">
      <w:pPr>
        <w:rPr>
          <w:lang w:val="en-US"/>
        </w:rPr>
      </w:pPr>
    </w:p>
    <w:p w14:paraId="0584E178" w14:textId="661F43A8" w:rsidR="00D17215" w:rsidRDefault="00D17215" w:rsidP="009D4B01">
      <w:pPr>
        <w:rPr>
          <w:lang w:val="en-US"/>
        </w:rPr>
      </w:pPr>
    </w:p>
    <w:p w14:paraId="58736CC8" w14:textId="14E3A14F" w:rsidR="00D17215" w:rsidRDefault="00D17215" w:rsidP="009D4B01">
      <w:pPr>
        <w:rPr>
          <w:lang w:val="en-US"/>
        </w:rPr>
      </w:pPr>
    </w:p>
    <w:p w14:paraId="7BB0152F" w14:textId="3510FD45" w:rsidR="00D17215" w:rsidRDefault="00D17215" w:rsidP="009D4B01">
      <w:pPr>
        <w:rPr>
          <w:lang w:val="en-US"/>
        </w:rPr>
      </w:pPr>
    </w:p>
    <w:p w14:paraId="67D10154" w14:textId="39F13AA0" w:rsidR="00D17215" w:rsidRDefault="00D17215" w:rsidP="009D4B01">
      <w:pPr>
        <w:rPr>
          <w:lang w:val="en-US"/>
        </w:rPr>
      </w:pPr>
    </w:p>
    <w:p w14:paraId="7662DC12" w14:textId="279FF131" w:rsidR="00D17215" w:rsidRDefault="00D17215" w:rsidP="009D4B01">
      <w:pPr>
        <w:rPr>
          <w:lang w:val="en-US"/>
        </w:rPr>
      </w:pPr>
    </w:p>
    <w:p w14:paraId="47D75C63" w14:textId="77777777" w:rsidR="00D17215" w:rsidRPr="00D17215" w:rsidRDefault="00D17215" w:rsidP="00D17215">
      <w:pPr>
        <w:rPr>
          <w:lang w:val="en-US"/>
        </w:rPr>
      </w:pPr>
    </w:p>
    <w:p w14:paraId="2C001031" w14:textId="77777777" w:rsidR="00D17215" w:rsidRPr="00D17215" w:rsidRDefault="00D17215" w:rsidP="00D17215">
      <w:pPr>
        <w:jc w:val="center"/>
        <w:rPr>
          <w:lang w:val="en-US"/>
        </w:rPr>
      </w:pPr>
      <w:r w:rsidRPr="00D17215">
        <w:rPr>
          <w:lang w:val="en-US"/>
        </w:rPr>
        <w:object w:dxaOrig="8210" w:dyaOrig="3600" w14:anchorId="62EED8EA">
          <v:shape id="_x0000_i1047" type="#_x0000_t75" style="width:410.5pt;height:180pt" o:ole="">
            <v:imagedata r:id="rId57" o:title=""/>
          </v:shape>
          <o:OLEObject Type="Embed" ProgID="FoxitReader.Document" ShapeID="_x0000_i1047" DrawAspect="Content" ObjectID="_1708819622" r:id="rId58"/>
        </w:object>
      </w:r>
    </w:p>
    <w:p w14:paraId="197A016B" w14:textId="77777777" w:rsidR="00D17215" w:rsidRPr="00D17215" w:rsidRDefault="00D17215" w:rsidP="00D17215">
      <w:pPr>
        <w:jc w:val="center"/>
        <w:rPr>
          <w:lang w:val="en-US"/>
        </w:rPr>
      </w:pPr>
      <w:r w:rsidRPr="00D17215">
        <w:rPr>
          <w:lang w:val="en-US"/>
        </w:rPr>
        <w:object w:dxaOrig="8350" w:dyaOrig="3750" w14:anchorId="0004810C">
          <v:shape id="_x0000_i1048" type="#_x0000_t75" style="width:417.5pt;height:187.5pt" o:ole="">
            <v:imagedata r:id="rId59" o:title=""/>
          </v:shape>
          <o:OLEObject Type="Embed" ProgID="FoxitReader.Document" ShapeID="_x0000_i1048" DrawAspect="Content" ObjectID="_1708819623" r:id="rId60"/>
        </w:object>
      </w:r>
    </w:p>
    <w:p w14:paraId="3DF4AC95" w14:textId="3EB25DC4" w:rsidR="00D17215" w:rsidRDefault="00D17215" w:rsidP="00D17215">
      <w:pPr>
        <w:pStyle w:val="Caption"/>
        <w:rPr>
          <w:lang w:val="en-US"/>
        </w:rPr>
      </w:pPr>
      <w:bookmarkStart w:id="27" w:name="_Toc64291929"/>
      <w:r w:rsidRPr="00D17215">
        <w:rPr>
          <w:lang w:val="en-US"/>
        </w:rPr>
        <w:t xml:space="preserve">Figure S16 shows the mass spectrum of time-of-day PMF primary OA factors: (a) W171115 SFC-OA and (b) W171115 BBOA at winter lunchtime in 2017. The whiskers in the graphs represent ±1 SD of the reference spectra. W171115 SFC-OA MS shares similarities with both reference HOA and BBOA MS. W171115 BBOA MS has higher </w:t>
      </w:r>
      <w:r w:rsidR="003C0805" w:rsidRPr="003C0805">
        <w:rPr>
          <w:i/>
          <w:iCs/>
          <w:lang w:val="en-US"/>
        </w:rPr>
        <w:t>m/z</w:t>
      </w:r>
      <w:r w:rsidRPr="00D17215">
        <w:rPr>
          <w:lang w:val="en-US"/>
        </w:rPr>
        <w:t xml:space="preserve"> 29 and lower </w:t>
      </w:r>
      <w:r w:rsidR="003C0805" w:rsidRPr="003C0805">
        <w:rPr>
          <w:i/>
          <w:iCs/>
          <w:lang w:val="en-US"/>
        </w:rPr>
        <w:t>m/z</w:t>
      </w:r>
      <w:r w:rsidRPr="00D17215">
        <w:rPr>
          <w:lang w:val="en-US"/>
        </w:rPr>
        <w:t xml:space="preserve"> 60 than reference BBOA MS.</w:t>
      </w:r>
      <w:bookmarkEnd w:id="27"/>
    </w:p>
    <w:p w14:paraId="168F2CDA" w14:textId="77777777" w:rsidR="00D17215" w:rsidRPr="00D17215" w:rsidRDefault="00D17215" w:rsidP="00D17215">
      <w:pPr>
        <w:jc w:val="center"/>
        <w:rPr>
          <w:lang w:val="en-US"/>
        </w:rPr>
      </w:pPr>
      <w:r w:rsidRPr="00D17215">
        <w:rPr>
          <w:lang w:val="en-US"/>
        </w:rPr>
        <w:object w:dxaOrig="7920" w:dyaOrig="3600" w14:anchorId="1F067CB7">
          <v:shape id="_x0000_i1049" type="#_x0000_t75" style="width:396pt;height:180pt" o:ole="">
            <v:imagedata r:id="rId61" o:title=""/>
          </v:shape>
          <o:OLEObject Type="Embed" ProgID="FoxitReader.Document" ShapeID="_x0000_i1049" DrawAspect="Content" ObjectID="_1708819624" r:id="rId62"/>
        </w:object>
      </w:r>
    </w:p>
    <w:p w14:paraId="0DB8659D" w14:textId="77777777" w:rsidR="00D17215" w:rsidRPr="00D17215" w:rsidRDefault="00D17215" w:rsidP="00D17215">
      <w:pPr>
        <w:jc w:val="center"/>
        <w:rPr>
          <w:lang w:val="en-US"/>
        </w:rPr>
      </w:pPr>
      <w:r w:rsidRPr="00D17215">
        <w:rPr>
          <w:lang w:val="en-US"/>
        </w:rPr>
        <w:object w:dxaOrig="8075" w:dyaOrig="3600" w14:anchorId="56EB28F5">
          <v:shape id="_x0000_i1050" type="#_x0000_t75" style="width:403.75pt;height:180pt" o:ole="">
            <v:imagedata r:id="rId63" o:title=""/>
          </v:shape>
          <o:OLEObject Type="Embed" ProgID="FoxitReader.Document" ShapeID="_x0000_i1050" DrawAspect="Content" ObjectID="_1708819625" r:id="rId64"/>
        </w:object>
      </w:r>
    </w:p>
    <w:p w14:paraId="761EF746" w14:textId="77777777" w:rsidR="00D17215" w:rsidRPr="00D17215" w:rsidRDefault="00D17215" w:rsidP="00D17215">
      <w:pPr>
        <w:pStyle w:val="Caption"/>
        <w:rPr>
          <w:lang w:val="en-US"/>
        </w:rPr>
      </w:pPr>
      <w:bookmarkStart w:id="28" w:name="_Toc64291930"/>
      <w:r w:rsidRPr="00D17215">
        <w:rPr>
          <w:lang w:val="en-US"/>
        </w:rPr>
        <w:t>Figure S17 shows the mass spectrum of time-of-day PMF primary OA factors: (a) W172303 HOA and (b) W172303 BBOA at winter nighttime in 2017. The whiskers in the graphs represent ±1 SD of the reference spectra. W172303 HOA MS is similar to the reference HOA MS. W172303 BBOA MS is similar to reference BBOA MS.</w:t>
      </w:r>
      <w:bookmarkEnd w:id="28"/>
    </w:p>
    <w:p w14:paraId="7AC1324F" w14:textId="77777777" w:rsidR="007F5AB1" w:rsidRPr="007F5AB1" w:rsidRDefault="007F5AB1" w:rsidP="007F5AB1">
      <w:pPr>
        <w:jc w:val="center"/>
        <w:rPr>
          <w:lang w:val="en-US"/>
        </w:rPr>
      </w:pPr>
      <w:r w:rsidRPr="007F5AB1">
        <w:rPr>
          <w:lang w:val="en-US"/>
        </w:rPr>
        <w:object w:dxaOrig="8485" w:dyaOrig="3750" w14:anchorId="21F9A63F">
          <v:shape id="_x0000_i1051" type="#_x0000_t75" style="width:424.25pt;height:187.5pt" o:ole="">
            <v:imagedata r:id="rId65" o:title=""/>
          </v:shape>
          <o:OLEObject Type="Embed" ProgID="FoxitReader.Document" ShapeID="_x0000_i1051" DrawAspect="Content" ObjectID="_1708819626" r:id="rId66"/>
        </w:object>
      </w:r>
    </w:p>
    <w:p w14:paraId="60B3EBCF" w14:textId="11C0D5C8" w:rsidR="007F5AB1" w:rsidRPr="007F5AB1" w:rsidRDefault="007F5AB1" w:rsidP="007F5AB1">
      <w:pPr>
        <w:pStyle w:val="Caption"/>
        <w:rPr>
          <w:lang w:val="en-US"/>
        </w:rPr>
      </w:pPr>
      <w:bookmarkStart w:id="29" w:name="_Toc64291931"/>
      <w:r w:rsidRPr="007F5AB1">
        <w:rPr>
          <w:lang w:val="en-US"/>
        </w:rPr>
        <w:t xml:space="preserve">Figure S18 shows the mass spectrum of time-of-day PMF primary OA factor W171115 SFC-OA at winter lunchtime in 2017 and the SFC-OA profile from the work of Tobler and co-workers (2020). MS contributions are very similar except at </w:t>
      </w:r>
      <w:r w:rsidR="003C0805" w:rsidRPr="003C0805">
        <w:rPr>
          <w:i/>
          <w:iCs/>
          <w:lang w:val="en-US"/>
        </w:rPr>
        <w:t>m/z</w:t>
      </w:r>
      <w:r w:rsidRPr="007F5AB1">
        <w:rPr>
          <w:lang w:val="en-US"/>
        </w:rPr>
        <w:t xml:space="preserve"> 44.</w:t>
      </w:r>
      <w:bookmarkEnd w:id="29"/>
    </w:p>
    <w:p w14:paraId="716A4408" w14:textId="77777777" w:rsidR="007F5AB1" w:rsidRPr="007F5AB1" w:rsidRDefault="007F5AB1" w:rsidP="007F5AB1">
      <w:pPr>
        <w:rPr>
          <w:lang w:val="en-US"/>
        </w:rPr>
      </w:pPr>
    </w:p>
    <w:p w14:paraId="14C0CCF6" w14:textId="77777777" w:rsidR="007F5AB1" w:rsidRPr="007F5AB1" w:rsidRDefault="007F5AB1" w:rsidP="007F5AB1">
      <w:pPr>
        <w:jc w:val="center"/>
        <w:rPr>
          <w:lang w:val="en-US"/>
        </w:rPr>
      </w:pPr>
      <w:r w:rsidRPr="007F5AB1">
        <w:rPr>
          <w:lang w:val="en-US"/>
        </w:rPr>
        <w:object w:dxaOrig="8485" w:dyaOrig="3885" w14:anchorId="016B92A9">
          <v:shape id="_x0000_i1052" type="#_x0000_t75" style="width:424.25pt;height:194.25pt" o:ole="">
            <v:imagedata r:id="rId67" o:title=""/>
          </v:shape>
          <o:OLEObject Type="Embed" ProgID="FoxitReader.Document" ShapeID="_x0000_i1052" DrawAspect="Content" ObjectID="_1708819627" r:id="rId68"/>
        </w:object>
      </w:r>
    </w:p>
    <w:p w14:paraId="4383BC21" w14:textId="77777777" w:rsidR="007F5AB1" w:rsidRPr="007F5AB1" w:rsidRDefault="007F5AB1" w:rsidP="007F5AB1">
      <w:pPr>
        <w:pStyle w:val="Caption"/>
        <w:rPr>
          <w:lang w:val="en-US"/>
        </w:rPr>
      </w:pPr>
      <w:bookmarkStart w:id="30" w:name="_Toc64291932"/>
      <w:r w:rsidRPr="007F5AB1">
        <w:rPr>
          <w:lang w:val="en-US"/>
        </w:rPr>
        <w:t>Figure S19 shows the mass spectrum of time-of-day PMF primary OA factor M171115 mixed COA-HOA at monsoon lunchtime in 2017. The whiskers in the graphs represent ±1 SD of the reference spectra. M171115 COA-HOA MS shares similarities with both reference HOA and COA MS.</w:t>
      </w:r>
      <w:bookmarkEnd w:id="30"/>
    </w:p>
    <w:p w14:paraId="2FD511C2" w14:textId="77777777" w:rsidR="007F5AB1" w:rsidRPr="007F5AB1" w:rsidRDefault="007F5AB1" w:rsidP="007F5AB1">
      <w:pPr>
        <w:jc w:val="center"/>
        <w:rPr>
          <w:lang w:val="en-US"/>
        </w:rPr>
      </w:pPr>
      <w:r w:rsidRPr="007F5AB1">
        <w:rPr>
          <w:lang w:val="en-US"/>
        </w:rPr>
        <w:object w:dxaOrig="8210" w:dyaOrig="3600" w14:anchorId="16E613B8">
          <v:shape id="_x0000_i1053" type="#_x0000_t75" style="width:410.5pt;height:180pt" o:ole="">
            <v:imagedata r:id="rId69" o:title=""/>
          </v:shape>
          <o:OLEObject Type="Embed" ProgID="FoxitReader.Document" ShapeID="_x0000_i1053" DrawAspect="Content" ObjectID="_1708819628" r:id="rId70"/>
        </w:object>
      </w:r>
    </w:p>
    <w:p w14:paraId="1C171C2A" w14:textId="77777777" w:rsidR="007F5AB1" w:rsidRPr="007F5AB1" w:rsidRDefault="007F5AB1" w:rsidP="007F5AB1">
      <w:pPr>
        <w:jc w:val="center"/>
        <w:rPr>
          <w:lang w:val="en-US"/>
        </w:rPr>
      </w:pPr>
      <w:r w:rsidRPr="007F5AB1">
        <w:rPr>
          <w:lang w:val="en-US"/>
        </w:rPr>
        <w:object w:dxaOrig="8210" w:dyaOrig="3600" w14:anchorId="138F47C6">
          <v:shape id="_x0000_i1054" type="#_x0000_t75" style="width:410.5pt;height:180pt" o:ole="">
            <v:imagedata r:id="rId71" o:title=""/>
          </v:shape>
          <o:OLEObject Type="Embed" ProgID="FoxitReader.Document" ShapeID="_x0000_i1054" DrawAspect="Content" ObjectID="_1708819629" r:id="rId72"/>
        </w:object>
      </w:r>
    </w:p>
    <w:p w14:paraId="64081F64" w14:textId="3257934D" w:rsidR="00D17215" w:rsidRDefault="007F5AB1" w:rsidP="007F5AB1">
      <w:pPr>
        <w:pStyle w:val="Caption"/>
        <w:rPr>
          <w:lang w:val="en-US"/>
        </w:rPr>
      </w:pPr>
      <w:bookmarkStart w:id="31" w:name="_Toc64291933"/>
      <w:r w:rsidRPr="007F5AB1">
        <w:rPr>
          <w:lang w:val="en-US"/>
        </w:rPr>
        <w:t>Figure S20 shows the mass spectrum of time-of-day PMF primary OA factors: (a) M172303 HOA and (b) M172303 COA at monsoon nighttime in 2017. The whiskers in the graphs represent ±1 SD of the reference spectra. M172303 HOA MS is similar to the reference HOA MS. M172303 COA MS is similar to reference COA MS.</w:t>
      </w:r>
      <w:bookmarkEnd w:id="31"/>
    </w:p>
    <w:p w14:paraId="64BACAE2" w14:textId="723653D6" w:rsidR="007F5AB1" w:rsidRDefault="003E6912" w:rsidP="003E6912">
      <w:pPr>
        <w:pStyle w:val="Heading2"/>
        <w:rPr>
          <w:lang w:val="en-US"/>
        </w:rPr>
      </w:pPr>
      <w:r w:rsidRPr="003E6912">
        <w:rPr>
          <w:lang w:val="en-US"/>
        </w:rPr>
        <w:t xml:space="preserve">S4 </w:t>
      </w:r>
      <w:r>
        <w:rPr>
          <w:lang w:val="en-US"/>
        </w:rPr>
        <w:t>D</w:t>
      </w:r>
      <w:r w:rsidRPr="003E6912">
        <w:rPr>
          <w:lang w:val="en-US"/>
        </w:rPr>
        <w:t xml:space="preserve">etails of time-of-day </w:t>
      </w:r>
      <w:r>
        <w:rPr>
          <w:lang w:val="en-US"/>
        </w:rPr>
        <w:t>PMF</w:t>
      </w:r>
      <w:r w:rsidRPr="003E6912">
        <w:rPr>
          <w:lang w:val="en-US"/>
        </w:rPr>
        <w:t xml:space="preserve"> oxidized organic aerosol </w:t>
      </w:r>
      <w:r>
        <w:rPr>
          <w:lang w:val="en-US"/>
        </w:rPr>
        <w:t>MS</w:t>
      </w:r>
      <w:r w:rsidRPr="003E6912">
        <w:rPr>
          <w:lang w:val="en-US"/>
        </w:rPr>
        <w:t xml:space="preserve"> and </w:t>
      </w:r>
      <w:r>
        <w:rPr>
          <w:lang w:val="en-US"/>
        </w:rPr>
        <w:t>TS</w:t>
      </w:r>
    </w:p>
    <w:p w14:paraId="0F018ACD" w14:textId="69278CC8" w:rsidR="003C46BC" w:rsidRPr="002B5422" w:rsidRDefault="002B5422" w:rsidP="002B5422">
      <w:pPr>
        <w:pStyle w:val="Heading3"/>
      </w:pPr>
      <w:r>
        <w:t>S</w:t>
      </w:r>
      <w:r w:rsidRPr="002B5422">
        <w:t xml:space="preserve">4.1 </w:t>
      </w:r>
      <w:r w:rsidR="003C46BC" w:rsidRPr="002B5422">
        <w:t>Time series patterns of secondary PM</w:t>
      </w:r>
    </w:p>
    <w:p w14:paraId="53B23F82" w14:textId="77777777" w:rsidR="002B5422" w:rsidRDefault="003C46BC" w:rsidP="003C46BC">
      <w:pPr>
        <w:rPr>
          <w:lang w:val="en-US"/>
        </w:rPr>
      </w:pPr>
      <w:r w:rsidRPr="003C46BC">
        <w:rPr>
          <w:lang w:val="en-US"/>
        </w:rPr>
        <w:t>In all time-of-day periods presented in the paper, POA and local OOA factors correlate more negatively with O3 compared to the regional OOA factor, indicating O3 co-production with regional OOA (Figs. S21–S24). Both lunchtime and nighttime regional OOA factor TS correlate the strongest (among all PMF factors in their respective time periods) with O3+NO2, suggesting that daytime photochemistry and nighttime chemistry are the controlling processes for regional OOA production respectively, with high primary emissions available for oxidation and higher OOA observed in periods with higher oxidant levels. At lunchtime in winter, one OOA factor shares similar time series correlations as the SFC-OA factor, suggesting similar origin (Fig. S21). This OOA factor has the highest correlations with sulfate in this period. We call this factor the local OOA factor, even though sulfate is generally associated with regional OOA. The other OOA factor at lunchtime has low correlations with external tracers. At night, the local OOA factor correlates with nitrate and chloride, and the regional OOA factor correlates with sulfate and nitrate (Fig. S22). These differing correlations also suggest that the association of factors with inorganic species might be due to volatility and not similar origin, especially at lunchtime in winter (Zhang et al., 2011). At monsoon lunchtime, the regional OOA factor correlates strongly with sulfate and the local OOA factor correlates with nitrate (Fig. S23). Additionally, the monsoon lunchtime local (and regional) OOA factor TS correlate strongly with O3+NO2, suggesting that rapid radical chemistry is the controlling process for OOA production. At monsoon nighttime, OOA factors are both correlated with sulfate and nitrate, but the OOA factor with weaker inorganic tracer correlations is correlated stronger with CO (Fig. S24). This factor also has lower MS correlations with the reference OOA profile (Fig. S26). We use these differences to attribute the local and regional OOA nature to the two factors at monsoon nighttime.</w:t>
      </w:r>
      <w:r w:rsidR="00526841">
        <w:rPr>
          <w:lang w:val="en-US"/>
        </w:rPr>
        <w:t xml:space="preserve"> </w:t>
      </w:r>
    </w:p>
    <w:p w14:paraId="4E52050B" w14:textId="5EE0087B" w:rsidR="003C46BC" w:rsidRPr="003C46BC" w:rsidRDefault="003C46BC" w:rsidP="002B5422">
      <w:pPr>
        <w:ind w:firstLine="720"/>
        <w:rPr>
          <w:lang w:val="en-US"/>
        </w:rPr>
      </w:pPr>
      <w:r w:rsidRPr="003C46BC">
        <w:rPr>
          <w:lang w:val="en-US"/>
        </w:rPr>
        <w:t>In all periods, time-of-day PMF OOA concentrations are within 25% of the seasonal PMF OOA concentrations, with lower concentrations in time-of-day PMF in all periods except winter nighttime (Figs. S33b and S34b). Unlike nighttime POA concentrations, nighttime OOA concentrations remain stable throughout. Also, unlike the large contrast in lunchtime and nighttime POA concentrations, nighttime OOA concentrations are similar to lunchtime OOA concentrations. The lunchtime period is marked by higher atmospheric mixing, higher photochemical processing, and perhaps lower primary emissions than nighttime (Fig. S1). The nighttime periods are marked by inversions (Bhandari et al., 2020; Fig. S1). Together, these differences in meteorological variables and emissions likely lead to the stable nighttime OOA and similar lunchtime and nighttime OOA concentrations.</w:t>
      </w:r>
    </w:p>
    <w:p w14:paraId="5C176249" w14:textId="7C4B9E83" w:rsidR="003C46BC" w:rsidRPr="002B5422" w:rsidRDefault="002B5422" w:rsidP="002B5422">
      <w:pPr>
        <w:pStyle w:val="Heading3"/>
        <w:rPr>
          <w:lang w:val="en-US"/>
        </w:rPr>
      </w:pPr>
      <w:r>
        <w:rPr>
          <w:lang w:val="en-US"/>
        </w:rPr>
        <w:t xml:space="preserve">S4.2 </w:t>
      </w:r>
      <w:r w:rsidR="003C46BC" w:rsidRPr="002B5422">
        <w:rPr>
          <w:lang w:val="en-US"/>
        </w:rPr>
        <w:t>Mass spectral features of secondary factors</w:t>
      </w:r>
    </w:p>
    <w:p w14:paraId="57F57AD3" w14:textId="2AA637AA" w:rsidR="002B5422" w:rsidRDefault="003C46BC" w:rsidP="003C46BC">
      <w:pPr>
        <w:rPr>
          <w:lang w:val="en-US"/>
        </w:rPr>
      </w:pPr>
      <w:r w:rsidRPr="003C46BC">
        <w:rPr>
          <w:lang w:val="en-US"/>
        </w:rPr>
        <w:t xml:space="preserve">At winter lunchtime, we observe higher contributions in time-of-day OOA at </w:t>
      </w:r>
      <w:r w:rsidR="003C0805" w:rsidRPr="003C0805">
        <w:rPr>
          <w:i/>
          <w:lang w:val="en-US"/>
        </w:rPr>
        <w:t>m/z</w:t>
      </w:r>
      <w:r w:rsidRPr="003C46BC">
        <w:rPr>
          <w:lang w:val="en-US"/>
        </w:rPr>
        <w:t xml:space="preserve"> 44, and lower contributions at </w:t>
      </w:r>
      <w:r w:rsidR="003C0805" w:rsidRPr="003C0805">
        <w:rPr>
          <w:i/>
          <w:lang w:val="en-US"/>
        </w:rPr>
        <w:t>m/z</w:t>
      </w:r>
      <w:r w:rsidRPr="003C46BC">
        <w:rPr>
          <w:lang w:val="en-US"/>
        </w:rPr>
        <w:t xml:space="preserve">s 41 and 43, pointing to the higher oxidized nature of OOA (Fig. S35a). At monsoon lunchtime, the only major difference is at </w:t>
      </w:r>
      <w:r w:rsidR="003C0805" w:rsidRPr="003C0805">
        <w:rPr>
          <w:i/>
          <w:lang w:val="en-US"/>
        </w:rPr>
        <w:t>m/z</w:t>
      </w:r>
      <w:r w:rsidRPr="003C46BC">
        <w:rPr>
          <w:lang w:val="en-US"/>
        </w:rPr>
        <w:t xml:space="preserve"> 43—higher contributions at </w:t>
      </w:r>
      <w:r w:rsidR="003C0805" w:rsidRPr="003C0805">
        <w:rPr>
          <w:i/>
          <w:lang w:val="en-US"/>
        </w:rPr>
        <w:t>m/z</w:t>
      </w:r>
      <w:r w:rsidRPr="003C46BC">
        <w:rPr>
          <w:lang w:val="en-US"/>
        </w:rPr>
        <w:t xml:space="preserve"> 43 lead to a lower oxidation state of OOA in time-of-day PMF (Fig. S36a). At nighttime in monsoon, we observe higher contributions at several </w:t>
      </w:r>
      <w:r w:rsidR="003C0805" w:rsidRPr="003C0805">
        <w:rPr>
          <w:i/>
          <w:lang w:val="en-US"/>
        </w:rPr>
        <w:t>m/z</w:t>
      </w:r>
      <w:r w:rsidRPr="003C46BC">
        <w:rPr>
          <w:lang w:val="en-US"/>
        </w:rPr>
        <w:t>s ≤ 44 in time-of-day PMF analysis, suggesting a higher oxidation of OOA (Fig. S36b). The similarity of the OOA MS comparisons in monsoon lunchtime and winter nighttime is accompanied by a similarly strong correlation of the local OOA MS in these periods with the reference SVOOA MS (Figs. S25 and S26).</w:t>
      </w:r>
    </w:p>
    <w:p w14:paraId="293B32BA" w14:textId="3A177168" w:rsidR="003E6912" w:rsidRDefault="003C46BC" w:rsidP="002B5422">
      <w:pPr>
        <w:ind w:firstLine="720"/>
        <w:rPr>
          <w:lang w:val="en-US"/>
        </w:rPr>
      </w:pPr>
      <w:r w:rsidRPr="003C46BC">
        <w:rPr>
          <w:lang w:val="en-US"/>
        </w:rPr>
        <w:t xml:space="preserve">Similar to POA MS, we compare lunch and nighttime OOA MS from the time-of-day PMF analysis and the seasonal PMF analysis (Figs. S37–S38a–b). For both seasons, seasonal PMF analysis indicates more oxidized OOA at lunchtime than nighttime, based on the higher contributions at </w:t>
      </w:r>
      <w:r w:rsidR="003C0805" w:rsidRPr="003C0805">
        <w:rPr>
          <w:i/>
          <w:lang w:val="en-US"/>
        </w:rPr>
        <w:t>m/z</w:t>
      </w:r>
      <w:r w:rsidRPr="003C46BC">
        <w:rPr>
          <w:lang w:val="en-US"/>
        </w:rPr>
        <w:t xml:space="preserve"> 44 (Zhang et al., 2011; Figs. S37a and S38a). In winter, this contrast is sharper in time-of-day PMF analysis and is in line with slower reaction chemistry at winter night (Fig. S37b). In monsoon, however, time-of-day PMF surprisingly suggests lesser oxidized OOA at lunchtime than nighttime, with a higher contribution at </w:t>
      </w:r>
      <w:r w:rsidR="003C0805" w:rsidRPr="003C0805">
        <w:rPr>
          <w:i/>
          <w:lang w:val="en-US"/>
        </w:rPr>
        <w:t>m/z</w:t>
      </w:r>
      <w:r w:rsidRPr="003C46BC">
        <w:rPr>
          <w:lang w:val="en-US"/>
        </w:rPr>
        <w:t xml:space="preserve"> 43 and lower contribution at </w:t>
      </w:r>
      <w:r w:rsidR="003C0805" w:rsidRPr="003C0805">
        <w:rPr>
          <w:i/>
          <w:lang w:val="en-US"/>
        </w:rPr>
        <w:t>m/z</w:t>
      </w:r>
      <w:r w:rsidRPr="003C46BC">
        <w:rPr>
          <w:lang w:val="en-US"/>
        </w:rPr>
        <w:t xml:space="preserve"> 44 (Fig. S38b). The higher contributions of </w:t>
      </w:r>
      <w:r w:rsidR="003C0805" w:rsidRPr="003C0805">
        <w:rPr>
          <w:i/>
          <w:lang w:val="en-US"/>
        </w:rPr>
        <w:t>m/z</w:t>
      </w:r>
      <w:r w:rsidRPr="003C46BC">
        <w:rPr>
          <w:lang w:val="en-US"/>
        </w:rPr>
        <w:t xml:space="preserve"> 43 are likely caused by the presence of semi-volatile compounds—monsoon lunchtime local OOA profile shows the strongest correlation with the reference SVOOA MS among all OOA MS profiles presented in this paper (Fig. S26). Similar behavior has been observed elsewhere as well, and was attributed to biogenic emissions (Canonaco et al., 2015).</w:t>
      </w:r>
    </w:p>
    <w:p w14:paraId="465D9627" w14:textId="77777777" w:rsidR="002B5422" w:rsidRPr="002B5422" w:rsidRDefault="002B5422" w:rsidP="002B5422">
      <w:pPr>
        <w:ind w:firstLine="720"/>
        <w:rPr>
          <w:lang w:val="en-US"/>
        </w:rPr>
      </w:pPr>
    </w:p>
    <w:p w14:paraId="0F563435" w14:textId="77777777" w:rsidR="002B5422" w:rsidRPr="002B5422" w:rsidRDefault="002B5422" w:rsidP="00287D01">
      <w:pPr>
        <w:ind w:firstLine="720"/>
        <w:jc w:val="center"/>
        <w:rPr>
          <w:lang w:val="en-US"/>
        </w:rPr>
      </w:pPr>
      <w:r w:rsidRPr="002B5422">
        <w:rPr>
          <w:lang w:val="en-US"/>
        </w:rPr>
        <w:object w:dxaOrig="8210" w:dyaOrig="8210" w14:anchorId="432D9297">
          <v:shape id="_x0000_i1055" type="#_x0000_t75" style="width:410.5pt;height:410.5pt" o:ole="">
            <v:imagedata r:id="rId73" o:title=""/>
          </v:shape>
          <o:OLEObject Type="Embed" ProgID="FoxitReader.Document" ShapeID="_x0000_i1055" DrawAspect="Content" ObjectID="_1708819630" r:id="rId74"/>
        </w:object>
      </w:r>
    </w:p>
    <w:p w14:paraId="07BD6AA5" w14:textId="14B1893E" w:rsidR="002B5422" w:rsidRDefault="002B5422" w:rsidP="002B5422">
      <w:pPr>
        <w:pStyle w:val="Caption"/>
        <w:rPr>
          <w:lang w:val="en-US"/>
        </w:rPr>
      </w:pPr>
      <w:bookmarkStart w:id="32" w:name="_Toc64291934"/>
      <w:r w:rsidRPr="002B5422">
        <w:rPr>
          <w:lang w:val="en-US"/>
        </w:rPr>
        <w:t>Figure S21 shows the time series correlations of the PMF factors’ TS with external tracers for the period of W171115 (for expanded figure, see Supplementary File</w:t>
      </w:r>
      <w:r w:rsidR="005920BB">
        <w:rPr>
          <w:lang w:val="en-US"/>
        </w:rPr>
        <w:t>-FigS21</w:t>
      </w:r>
      <w:r w:rsidRPr="002B5422">
        <w:rPr>
          <w:lang w:val="en-US"/>
        </w:rPr>
        <w:t>).</w:t>
      </w:r>
      <w:bookmarkEnd w:id="32"/>
    </w:p>
    <w:p w14:paraId="09A9568E" w14:textId="28797865" w:rsidR="002B5422" w:rsidRDefault="002B5422" w:rsidP="002B5422">
      <w:pPr>
        <w:rPr>
          <w:lang w:val="en-US"/>
        </w:rPr>
      </w:pPr>
    </w:p>
    <w:p w14:paraId="570C706A" w14:textId="73DF6085" w:rsidR="002B5422" w:rsidRDefault="002B5422" w:rsidP="002B5422">
      <w:pPr>
        <w:rPr>
          <w:lang w:val="en-US"/>
        </w:rPr>
      </w:pPr>
    </w:p>
    <w:p w14:paraId="4B0336D7" w14:textId="77777777" w:rsidR="00287D01" w:rsidRPr="00287D01" w:rsidRDefault="00287D01" w:rsidP="00287D01">
      <w:pPr>
        <w:rPr>
          <w:lang w:val="en-US"/>
        </w:rPr>
      </w:pPr>
    </w:p>
    <w:p w14:paraId="555BA71A" w14:textId="77777777" w:rsidR="00287D01" w:rsidRPr="00287D01" w:rsidRDefault="00287D01" w:rsidP="00287D01">
      <w:pPr>
        <w:jc w:val="center"/>
        <w:rPr>
          <w:lang w:val="en-US"/>
        </w:rPr>
      </w:pPr>
      <w:r w:rsidRPr="00287D01">
        <w:rPr>
          <w:lang w:val="en-US"/>
        </w:rPr>
        <w:object w:dxaOrig="8505" w:dyaOrig="8505" w14:anchorId="19D3EE60">
          <v:shape id="_x0000_i1056" type="#_x0000_t75" style="width:425.25pt;height:425.25pt" o:ole="">
            <v:imagedata r:id="rId75" o:title=""/>
          </v:shape>
          <o:OLEObject Type="Embed" ProgID="FoxitReader.Document" ShapeID="_x0000_i1056" DrawAspect="Content" ObjectID="_1708819631" r:id="rId76"/>
        </w:object>
      </w:r>
    </w:p>
    <w:p w14:paraId="382677D9" w14:textId="0F66AC07" w:rsidR="00287D01" w:rsidRPr="00287D01" w:rsidRDefault="00287D01" w:rsidP="00287D01">
      <w:pPr>
        <w:pStyle w:val="Caption"/>
        <w:rPr>
          <w:lang w:val="en-US"/>
        </w:rPr>
      </w:pPr>
      <w:bookmarkStart w:id="33" w:name="_Toc64291935"/>
      <w:r w:rsidRPr="00287D01">
        <w:rPr>
          <w:lang w:val="en-US"/>
        </w:rPr>
        <w:t>Figure S22 shows the time series correlations of the PMF factors’ TS with external tracers for the period of W172303 (for expanded figure, see Supplementary File</w:t>
      </w:r>
      <w:r w:rsidR="005920BB">
        <w:rPr>
          <w:lang w:val="en-US"/>
        </w:rPr>
        <w:t>-FigS22</w:t>
      </w:r>
      <w:r w:rsidRPr="00287D01">
        <w:rPr>
          <w:lang w:val="en-US"/>
        </w:rPr>
        <w:t>).</w:t>
      </w:r>
      <w:bookmarkEnd w:id="33"/>
    </w:p>
    <w:p w14:paraId="36D08CC9" w14:textId="77777777" w:rsidR="00287D01" w:rsidRPr="00287D01" w:rsidRDefault="00287D01" w:rsidP="00287D01">
      <w:pPr>
        <w:jc w:val="center"/>
        <w:rPr>
          <w:lang w:val="en-US"/>
        </w:rPr>
      </w:pPr>
      <w:r w:rsidRPr="00287D01">
        <w:rPr>
          <w:lang w:val="en-US"/>
        </w:rPr>
        <w:object w:dxaOrig="8345" w:dyaOrig="8345" w14:anchorId="726C97AA">
          <v:shape id="_x0000_i1057" type="#_x0000_t75" style="width:417.25pt;height:417.25pt" o:ole="">
            <v:imagedata r:id="rId77" o:title=""/>
          </v:shape>
          <o:OLEObject Type="Embed" ProgID="FoxitReader.Document" ShapeID="_x0000_i1057" DrawAspect="Content" ObjectID="_1708819632" r:id="rId78"/>
        </w:object>
      </w:r>
    </w:p>
    <w:p w14:paraId="5B86C9DF" w14:textId="30BC6124" w:rsidR="002B5422" w:rsidRDefault="00287D01" w:rsidP="00287D01">
      <w:pPr>
        <w:pStyle w:val="Caption"/>
        <w:rPr>
          <w:lang w:val="en-US"/>
        </w:rPr>
      </w:pPr>
      <w:bookmarkStart w:id="34" w:name="_Toc64291936"/>
      <w:r w:rsidRPr="00287D01">
        <w:rPr>
          <w:lang w:val="en-US"/>
        </w:rPr>
        <w:t>Figure S23 shows the time series correlations of the PMF factors’ TS with external tracers for the period of M171115 (for expanded figure, see Supplementary File</w:t>
      </w:r>
      <w:r w:rsidR="00BC1694">
        <w:rPr>
          <w:lang w:val="en-US"/>
        </w:rPr>
        <w:t>-FigS23</w:t>
      </w:r>
      <w:r w:rsidRPr="00287D01">
        <w:rPr>
          <w:lang w:val="en-US"/>
        </w:rPr>
        <w:t>).</w:t>
      </w:r>
      <w:bookmarkEnd w:id="34"/>
    </w:p>
    <w:p w14:paraId="7484EFF0" w14:textId="77777777" w:rsidR="00287D01" w:rsidRPr="00287D01" w:rsidRDefault="00287D01" w:rsidP="00287D01">
      <w:pPr>
        <w:jc w:val="center"/>
        <w:rPr>
          <w:lang w:val="en-US"/>
        </w:rPr>
      </w:pPr>
      <w:r w:rsidRPr="00287D01">
        <w:rPr>
          <w:lang w:val="en-US"/>
        </w:rPr>
        <w:object w:dxaOrig="8345" w:dyaOrig="8345" w14:anchorId="0AEB00A8">
          <v:shape id="_x0000_i1058" type="#_x0000_t75" style="width:417.25pt;height:417.25pt" o:ole="">
            <v:imagedata r:id="rId79" o:title=""/>
          </v:shape>
          <o:OLEObject Type="Embed" ProgID="FoxitReader.Document" ShapeID="_x0000_i1058" DrawAspect="Content" ObjectID="_1708819633" r:id="rId80"/>
        </w:object>
      </w:r>
    </w:p>
    <w:p w14:paraId="06912985" w14:textId="598B7A05" w:rsidR="002B5422" w:rsidRDefault="00287D01" w:rsidP="00287D01">
      <w:pPr>
        <w:pStyle w:val="Caption"/>
        <w:rPr>
          <w:lang w:val="en-US"/>
        </w:rPr>
      </w:pPr>
      <w:bookmarkStart w:id="35" w:name="_Toc64291937"/>
      <w:r w:rsidRPr="00287D01">
        <w:rPr>
          <w:lang w:val="en-US"/>
        </w:rPr>
        <w:t>Figure S24 shows the time series correlations of the PMF factors’ TS with external tracers for the period of M172303 (for expanded figure, see Supplementary File</w:t>
      </w:r>
      <w:r w:rsidR="00F009BF">
        <w:rPr>
          <w:lang w:val="en-US"/>
        </w:rPr>
        <w:t>-FigS24</w:t>
      </w:r>
      <w:bookmarkStart w:id="36" w:name="_GoBack"/>
      <w:bookmarkEnd w:id="36"/>
      <w:r w:rsidRPr="00287D01">
        <w:rPr>
          <w:lang w:val="en-US"/>
        </w:rPr>
        <w:t>).</w:t>
      </w:r>
      <w:bookmarkEnd w:id="35"/>
    </w:p>
    <w:p w14:paraId="5AA7B5DE" w14:textId="77777777" w:rsidR="00287D01" w:rsidRPr="00287D01" w:rsidRDefault="00287D01" w:rsidP="00287D01">
      <w:pPr>
        <w:jc w:val="center"/>
        <w:rPr>
          <w:lang w:val="en-US"/>
        </w:rPr>
      </w:pPr>
      <w:r w:rsidRPr="00287D01">
        <w:rPr>
          <w:lang w:val="en-US"/>
        </w:rPr>
        <w:object w:dxaOrig="8490" w:dyaOrig="8490" w14:anchorId="5EB7D9B8">
          <v:shape id="_x0000_i1059" type="#_x0000_t75" style="width:424.5pt;height:424.5pt" o:ole="">
            <v:imagedata r:id="rId81" o:title=""/>
          </v:shape>
          <o:OLEObject Type="Embed" ProgID="FoxitReader.Document" ShapeID="_x0000_i1059" DrawAspect="Content" ObjectID="_1708819634" r:id="rId82"/>
        </w:object>
      </w:r>
    </w:p>
    <w:p w14:paraId="6EF8FDAE" w14:textId="77777777" w:rsidR="00287D01" w:rsidRPr="00287D01" w:rsidRDefault="00287D01" w:rsidP="00287D01">
      <w:pPr>
        <w:pStyle w:val="Caption"/>
        <w:rPr>
          <w:lang w:val="en-US"/>
        </w:rPr>
      </w:pPr>
      <w:bookmarkStart w:id="37" w:name="_Toc64291938"/>
      <w:r w:rsidRPr="00287D01">
        <w:rPr>
          <w:lang w:val="en-US"/>
        </w:rPr>
        <w:t>Figure S25 shows the time series correlations of the secondary PMF factors’ MS with reference MS for the season of winter 2017. Regional OOA MS are more strongly correlated to reference OOA and LVOOA MS compared to local OOA MS. Local OOA MS are more strongly correlated to reference SVOOA MS compared to regional OOA.</w:t>
      </w:r>
      <w:bookmarkEnd w:id="37"/>
      <w:r w:rsidRPr="00287D01">
        <w:rPr>
          <w:lang w:val="en-US"/>
        </w:rPr>
        <w:t xml:space="preserve"> </w:t>
      </w:r>
    </w:p>
    <w:p w14:paraId="6128FBF6" w14:textId="77777777" w:rsidR="00287D01" w:rsidRPr="00287D01" w:rsidRDefault="00287D01" w:rsidP="00287D01">
      <w:pPr>
        <w:rPr>
          <w:lang w:val="en-US"/>
        </w:rPr>
      </w:pPr>
    </w:p>
    <w:p w14:paraId="7C570107" w14:textId="77777777" w:rsidR="00287D01" w:rsidRPr="00287D01" w:rsidRDefault="00287D01" w:rsidP="00287D01">
      <w:pPr>
        <w:rPr>
          <w:lang w:val="en-US"/>
        </w:rPr>
      </w:pPr>
    </w:p>
    <w:p w14:paraId="30CF62A1" w14:textId="77777777" w:rsidR="00287D01" w:rsidRPr="00287D01" w:rsidRDefault="00287D01" w:rsidP="00287D01">
      <w:pPr>
        <w:rPr>
          <w:lang w:val="en-US"/>
        </w:rPr>
      </w:pPr>
    </w:p>
    <w:p w14:paraId="1F078259" w14:textId="77777777" w:rsidR="00287D01" w:rsidRPr="00287D01" w:rsidRDefault="00287D01" w:rsidP="00287D01">
      <w:pPr>
        <w:jc w:val="center"/>
        <w:rPr>
          <w:lang w:val="en-US"/>
        </w:rPr>
      </w:pPr>
      <w:r w:rsidRPr="00287D01">
        <w:rPr>
          <w:lang w:val="en-US"/>
        </w:rPr>
        <w:object w:dxaOrig="8355" w:dyaOrig="8355" w14:anchorId="4E284E45">
          <v:shape id="_x0000_i1060" type="#_x0000_t75" style="width:417.75pt;height:417.75pt" o:ole="">
            <v:imagedata r:id="rId83" o:title=""/>
          </v:shape>
          <o:OLEObject Type="Embed" ProgID="FoxitReader.Document" ShapeID="_x0000_i1060" DrawAspect="Content" ObjectID="_1708819635" r:id="rId84"/>
        </w:object>
      </w:r>
    </w:p>
    <w:p w14:paraId="7E204B39" w14:textId="77777777" w:rsidR="00287D01" w:rsidRPr="00287D01" w:rsidRDefault="00287D01" w:rsidP="00287D01">
      <w:pPr>
        <w:pStyle w:val="Caption"/>
        <w:rPr>
          <w:lang w:val="en-US"/>
        </w:rPr>
      </w:pPr>
      <w:bookmarkStart w:id="38" w:name="_Toc64291939"/>
      <w:r w:rsidRPr="00287D01">
        <w:rPr>
          <w:lang w:val="en-US"/>
        </w:rPr>
        <w:t>Figure S26 shows the time series correlations of the secondary PMF factors’ MS with reference MS for the season of monsoon 2017. Regional OOA MS are more strongly correlated to reference OOA and LVOOA MS compared to local OOA MS. Local OOA MS are more strongly correlated to reference SVOOA MS compared to regional OOA.</w:t>
      </w:r>
      <w:bookmarkEnd w:id="38"/>
      <w:r w:rsidRPr="00287D01">
        <w:rPr>
          <w:lang w:val="en-US"/>
        </w:rPr>
        <w:t xml:space="preserve"> </w:t>
      </w:r>
    </w:p>
    <w:p w14:paraId="37F2C112" w14:textId="77777777" w:rsidR="00287D01" w:rsidRPr="00287D01" w:rsidRDefault="00287D01" w:rsidP="00287D01">
      <w:pPr>
        <w:rPr>
          <w:lang w:val="en-US"/>
        </w:rPr>
      </w:pPr>
    </w:p>
    <w:p w14:paraId="76E590A6" w14:textId="77777777" w:rsidR="00287D01" w:rsidRPr="00287D01" w:rsidRDefault="00287D01" w:rsidP="00287D01">
      <w:pPr>
        <w:rPr>
          <w:lang w:val="en-US"/>
        </w:rPr>
      </w:pPr>
    </w:p>
    <w:p w14:paraId="5FEB2A96" w14:textId="77777777" w:rsidR="00287D01" w:rsidRPr="00287D01" w:rsidRDefault="00287D01" w:rsidP="00287D01">
      <w:pPr>
        <w:rPr>
          <w:lang w:val="en-US"/>
        </w:rPr>
      </w:pPr>
    </w:p>
    <w:p w14:paraId="5BCDA71D" w14:textId="77777777" w:rsidR="00287D01" w:rsidRPr="00287D01" w:rsidRDefault="00287D01" w:rsidP="00287D01">
      <w:pPr>
        <w:rPr>
          <w:lang w:val="en-US"/>
        </w:rPr>
      </w:pPr>
    </w:p>
    <w:p w14:paraId="7B90EF94" w14:textId="77777777" w:rsidR="00287D01" w:rsidRPr="00287D01" w:rsidRDefault="00287D01" w:rsidP="00287D01">
      <w:pPr>
        <w:jc w:val="center"/>
        <w:rPr>
          <w:lang w:val="en-US"/>
        </w:rPr>
      </w:pPr>
      <w:r w:rsidRPr="00287D01">
        <w:rPr>
          <w:lang w:val="en-US"/>
        </w:rPr>
        <w:object w:dxaOrig="8490" w:dyaOrig="8490" w14:anchorId="7B4F9284">
          <v:shape id="_x0000_i1061" type="#_x0000_t75" style="width:424.5pt;height:424.5pt" o:ole="">
            <v:imagedata r:id="rId85" o:title=""/>
          </v:shape>
          <o:OLEObject Type="Embed" ProgID="FoxitReader.Document" ShapeID="_x0000_i1061" DrawAspect="Content" ObjectID="_1708819636" r:id="rId86"/>
        </w:object>
      </w:r>
    </w:p>
    <w:p w14:paraId="0243FE20" w14:textId="77777777" w:rsidR="00287D01" w:rsidRPr="00287D01" w:rsidRDefault="00287D01" w:rsidP="00287D01">
      <w:pPr>
        <w:pStyle w:val="Caption"/>
        <w:rPr>
          <w:lang w:val="en-US"/>
        </w:rPr>
      </w:pPr>
      <w:bookmarkStart w:id="39" w:name="_Toc64291940"/>
      <w:r w:rsidRPr="00287D01">
        <w:rPr>
          <w:lang w:val="en-US"/>
        </w:rPr>
        <w:t>Figure S27 shows the hour-of-day on the day-of-week, seasonal diurnal, monthly, and week-of-day time series patterns for local OOA and regional OOA for the PMF run of W171115. Clearly, regional OOA is less variable diurnally than local OOA.</w:t>
      </w:r>
      <w:bookmarkEnd w:id="39"/>
    </w:p>
    <w:p w14:paraId="0578C0C2" w14:textId="77777777" w:rsidR="00287D01" w:rsidRPr="00287D01" w:rsidRDefault="00287D01" w:rsidP="00287D01">
      <w:pPr>
        <w:jc w:val="center"/>
        <w:rPr>
          <w:lang w:val="en-US"/>
        </w:rPr>
      </w:pPr>
      <w:r w:rsidRPr="00287D01">
        <w:rPr>
          <w:lang w:val="en-US"/>
        </w:rPr>
        <w:object w:dxaOrig="8355" w:dyaOrig="8355" w14:anchorId="36B4CFE9">
          <v:shape id="_x0000_i1062" type="#_x0000_t75" style="width:417.75pt;height:417.75pt" o:ole="">
            <v:imagedata r:id="rId87" o:title=""/>
          </v:shape>
          <o:OLEObject Type="Embed" ProgID="FoxitReader.Document" ShapeID="_x0000_i1062" DrawAspect="Content" ObjectID="_1708819637" r:id="rId88"/>
        </w:object>
      </w:r>
    </w:p>
    <w:p w14:paraId="04878FA0" w14:textId="77777777" w:rsidR="00287D01" w:rsidRPr="00287D01" w:rsidRDefault="00287D01" w:rsidP="00287D01">
      <w:pPr>
        <w:pStyle w:val="Caption"/>
        <w:rPr>
          <w:lang w:val="en-US"/>
        </w:rPr>
      </w:pPr>
      <w:bookmarkStart w:id="40" w:name="_Toc64291941"/>
      <w:r w:rsidRPr="00287D01">
        <w:rPr>
          <w:lang w:val="en-US"/>
        </w:rPr>
        <w:t>Figure S28 shows the hour-of-day on the day-of-week, seasonal diurnal, monthly, and week-of-day time series patterns for local OOA and regional OOA for the PMF run of W172303. Clearly, regional OOA is less variable diurnally than local OOA.</w:t>
      </w:r>
      <w:bookmarkEnd w:id="40"/>
    </w:p>
    <w:p w14:paraId="5F9D999F" w14:textId="77777777" w:rsidR="00287D01" w:rsidRPr="00287D01" w:rsidRDefault="00287D01" w:rsidP="00287D01">
      <w:pPr>
        <w:rPr>
          <w:lang w:val="en-US"/>
        </w:rPr>
      </w:pPr>
    </w:p>
    <w:p w14:paraId="3C1B55A9" w14:textId="77777777" w:rsidR="00287D01" w:rsidRPr="00287D01" w:rsidRDefault="00287D01" w:rsidP="00287D01">
      <w:pPr>
        <w:jc w:val="center"/>
        <w:rPr>
          <w:lang w:val="en-US"/>
        </w:rPr>
      </w:pPr>
      <w:r w:rsidRPr="00287D01">
        <w:rPr>
          <w:lang w:val="en-US"/>
        </w:rPr>
        <w:object w:dxaOrig="8355" w:dyaOrig="8355" w14:anchorId="5198DE28">
          <v:shape id="_x0000_i1063" type="#_x0000_t75" style="width:417.75pt;height:417.75pt" o:ole="">
            <v:imagedata r:id="rId89" o:title=""/>
          </v:shape>
          <o:OLEObject Type="Embed" ProgID="FoxitReader.Document" ShapeID="_x0000_i1063" DrawAspect="Content" ObjectID="_1708819638" r:id="rId90"/>
        </w:object>
      </w:r>
    </w:p>
    <w:p w14:paraId="7FB212BA" w14:textId="77777777" w:rsidR="00287D01" w:rsidRPr="00287D01" w:rsidRDefault="00287D01" w:rsidP="00287D01">
      <w:pPr>
        <w:pStyle w:val="Caption"/>
        <w:rPr>
          <w:lang w:val="en-US"/>
        </w:rPr>
      </w:pPr>
      <w:bookmarkStart w:id="41" w:name="_Toc64291942"/>
      <w:r w:rsidRPr="00287D01">
        <w:rPr>
          <w:lang w:val="en-US"/>
        </w:rPr>
        <w:t>Figure S29 shows the hour-of-day on the day-of-week, seasonal diurnal, monthly, and week-of-day time series patterns for local OOA and regional OOA for the PMF run of M171115. Clearly, regional OOA is less variable diurnally than local OOA.</w:t>
      </w:r>
      <w:bookmarkEnd w:id="41"/>
    </w:p>
    <w:p w14:paraId="6D855DB5" w14:textId="77777777" w:rsidR="00287D01" w:rsidRPr="00287D01" w:rsidRDefault="00287D01" w:rsidP="00287D01">
      <w:pPr>
        <w:rPr>
          <w:lang w:val="en-US"/>
        </w:rPr>
      </w:pPr>
    </w:p>
    <w:p w14:paraId="3068D793" w14:textId="77777777" w:rsidR="00287D01" w:rsidRPr="00287D01" w:rsidRDefault="00287D01" w:rsidP="00287D01">
      <w:pPr>
        <w:jc w:val="center"/>
        <w:rPr>
          <w:lang w:val="en-US"/>
        </w:rPr>
      </w:pPr>
      <w:r w:rsidRPr="00287D01">
        <w:rPr>
          <w:lang w:val="en-US"/>
        </w:rPr>
        <w:object w:dxaOrig="8490" w:dyaOrig="8490" w14:anchorId="708F8D6E">
          <v:shape id="_x0000_i1064" type="#_x0000_t75" style="width:424.5pt;height:424.5pt" o:ole="">
            <v:imagedata r:id="rId91" o:title=""/>
          </v:shape>
          <o:OLEObject Type="Embed" ProgID="FoxitReader.Document" ShapeID="_x0000_i1064" DrawAspect="Content" ObjectID="_1708819639" r:id="rId92"/>
        </w:object>
      </w:r>
    </w:p>
    <w:p w14:paraId="4122EEC1" w14:textId="77777777" w:rsidR="00287D01" w:rsidRPr="00287D01" w:rsidRDefault="00287D01" w:rsidP="00287D01">
      <w:pPr>
        <w:pStyle w:val="Caption"/>
        <w:rPr>
          <w:lang w:val="en-US"/>
        </w:rPr>
      </w:pPr>
      <w:bookmarkStart w:id="42" w:name="_Toc64291943"/>
      <w:r w:rsidRPr="00287D01">
        <w:rPr>
          <w:lang w:val="en-US"/>
        </w:rPr>
        <w:t>Figure S30 shows the hour-of-day on the day-of-week, seasonal diurnal, monthly, and week-of-day time series patterns for local OOA and regional OOA for the PMF run of M172303. Clearly, regional OOA is less variable diurnally than local OOA.</w:t>
      </w:r>
      <w:bookmarkEnd w:id="42"/>
    </w:p>
    <w:p w14:paraId="742E3F79" w14:textId="77777777" w:rsidR="00287D01" w:rsidRPr="00287D01" w:rsidRDefault="00287D01" w:rsidP="00287D01">
      <w:pPr>
        <w:rPr>
          <w:lang w:val="en-US"/>
        </w:rPr>
      </w:pPr>
    </w:p>
    <w:p w14:paraId="2D45EB3C" w14:textId="77777777" w:rsidR="00287D01" w:rsidRPr="00287D01" w:rsidRDefault="00287D01" w:rsidP="00287D01">
      <w:pPr>
        <w:rPr>
          <w:lang w:val="en-US"/>
        </w:rPr>
      </w:pPr>
    </w:p>
    <w:p w14:paraId="6E5E3463" w14:textId="77777777" w:rsidR="00287D01" w:rsidRPr="00287D01" w:rsidRDefault="00287D01" w:rsidP="00287D01">
      <w:pPr>
        <w:jc w:val="center"/>
        <w:rPr>
          <w:lang w:val="en-US"/>
        </w:rPr>
      </w:pPr>
      <w:r w:rsidRPr="00287D01">
        <w:rPr>
          <w:lang w:val="en-US"/>
        </w:rPr>
        <w:object w:dxaOrig="8485" w:dyaOrig="3750" w14:anchorId="4E319A30">
          <v:shape id="_x0000_i1065" type="#_x0000_t75" style="width:424.25pt;height:187.7pt" o:ole="">
            <v:imagedata r:id="rId93" o:title=""/>
          </v:shape>
          <o:OLEObject Type="Embed" ProgID="FoxitReader.Document" ShapeID="_x0000_i1065" DrawAspect="Content" ObjectID="_1708819640" r:id="rId94"/>
        </w:object>
      </w:r>
    </w:p>
    <w:p w14:paraId="2F0CA0C5" w14:textId="77777777" w:rsidR="00287D01" w:rsidRPr="00287D01" w:rsidRDefault="00287D01" w:rsidP="00287D01">
      <w:pPr>
        <w:jc w:val="center"/>
        <w:rPr>
          <w:lang w:val="en-US"/>
        </w:rPr>
      </w:pPr>
      <w:r w:rsidRPr="00287D01">
        <w:rPr>
          <w:lang w:val="en-US"/>
        </w:rPr>
        <w:object w:dxaOrig="8485" w:dyaOrig="3750" w14:anchorId="5FF50C8F">
          <v:shape id="_x0000_i1066" type="#_x0000_t75" style="width:424.25pt;height:187.7pt" o:ole="">
            <v:imagedata r:id="rId95" o:title=""/>
          </v:shape>
          <o:OLEObject Type="Embed" ProgID="FoxitReader.Document" ShapeID="_x0000_i1066" DrawAspect="Content" ObjectID="_1708819641" r:id="rId96"/>
        </w:object>
      </w:r>
    </w:p>
    <w:p w14:paraId="12806123" w14:textId="77777777" w:rsidR="00287D01" w:rsidRPr="00287D01" w:rsidRDefault="00287D01" w:rsidP="00287D01">
      <w:pPr>
        <w:pStyle w:val="Caption"/>
        <w:rPr>
          <w:lang w:val="en-US"/>
        </w:rPr>
      </w:pPr>
      <w:bookmarkStart w:id="43" w:name="_Toc64291944"/>
      <w:r w:rsidRPr="00287D01">
        <w:rPr>
          <w:lang w:val="en-US"/>
        </w:rPr>
        <w:t>Figure S31 shows the mass spectra of winter lunchtime and nighttime POA using (a) the seasonal PMF approach and (b) the time-of-day PMF approach. Both approaches indicate that the nighttime POA profiles show a stronger primary nature; however, the contrast is sharper in time-of-day PMF comparisons.</w:t>
      </w:r>
      <w:bookmarkEnd w:id="43"/>
    </w:p>
    <w:p w14:paraId="621B3EB3" w14:textId="77777777" w:rsidR="00287D01" w:rsidRPr="00287D01" w:rsidRDefault="00287D01" w:rsidP="00287D01">
      <w:pPr>
        <w:rPr>
          <w:lang w:val="en-US"/>
        </w:rPr>
      </w:pPr>
    </w:p>
    <w:p w14:paraId="4A4141B4" w14:textId="77777777" w:rsidR="00287D01" w:rsidRPr="00287D01" w:rsidRDefault="00287D01" w:rsidP="00287D01">
      <w:pPr>
        <w:jc w:val="center"/>
        <w:rPr>
          <w:lang w:val="en-US"/>
        </w:rPr>
      </w:pPr>
      <w:r w:rsidRPr="00287D01">
        <w:rPr>
          <w:lang w:val="en-US"/>
        </w:rPr>
        <w:object w:dxaOrig="8485" w:dyaOrig="3750" w14:anchorId="56EFC415">
          <v:shape id="_x0000_i1067" type="#_x0000_t75" style="width:424.25pt;height:187.7pt" o:ole="">
            <v:imagedata r:id="rId97" o:title=""/>
          </v:shape>
          <o:OLEObject Type="Embed" ProgID="FoxitReader.Document" ShapeID="_x0000_i1067" DrawAspect="Content" ObjectID="_1708819642" r:id="rId98"/>
        </w:object>
      </w:r>
    </w:p>
    <w:p w14:paraId="448266B7" w14:textId="77777777" w:rsidR="00287D01" w:rsidRPr="00287D01" w:rsidRDefault="00287D01" w:rsidP="00287D01">
      <w:pPr>
        <w:jc w:val="center"/>
        <w:rPr>
          <w:lang w:val="en-US"/>
        </w:rPr>
      </w:pPr>
      <w:r w:rsidRPr="00287D01">
        <w:rPr>
          <w:lang w:val="en-US"/>
        </w:rPr>
        <w:object w:dxaOrig="8485" w:dyaOrig="3750" w14:anchorId="47423651">
          <v:shape id="_x0000_i1068" type="#_x0000_t75" style="width:424.25pt;height:187.7pt" o:ole="">
            <v:imagedata r:id="rId99" o:title=""/>
          </v:shape>
          <o:OLEObject Type="Embed" ProgID="FoxitReader.Document" ShapeID="_x0000_i1068" DrawAspect="Content" ObjectID="_1708819643" r:id="rId100"/>
        </w:object>
      </w:r>
    </w:p>
    <w:p w14:paraId="59AB4987" w14:textId="77777777" w:rsidR="00287D01" w:rsidRPr="00287D01" w:rsidRDefault="00287D01" w:rsidP="00287D01">
      <w:pPr>
        <w:pStyle w:val="Caption"/>
        <w:rPr>
          <w:lang w:val="en-US"/>
        </w:rPr>
      </w:pPr>
      <w:bookmarkStart w:id="44" w:name="_Toc64291945"/>
      <w:r w:rsidRPr="00287D01">
        <w:rPr>
          <w:lang w:val="en-US"/>
        </w:rPr>
        <w:t>Figure S32 shows the mass spectra of monsoon lunchtime and nighttime POA using (a) the seasonal PMF approach and (b) the time-of-day PMF approach. Only time-of-day PMF comparisons indicate that nighttime POA profiles show a stronger primary nature. Seasonal PMF comparisons show identical profiles.</w:t>
      </w:r>
      <w:bookmarkEnd w:id="44"/>
    </w:p>
    <w:p w14:paraId="1B30B216" w14:textId="77777777" w:rsidR="00287D01" w:rsidRPr="00287D01" w:rsidRDefault="00287D01" w:rsidP="00287D01">
      <w:pPr>
        <w:rPr>
          <w:lang w:val="en-US"/>
        </w:rPr>
      </w:pPr>
    </w:p>
    <w:p w14:paraId="362CBB01" w14:textId="77777777" w:rsidR="00287D01" w:rsidRPr="00287D01" w:rsidRDefault="00287D01" w:rsidP="00287D01">
      <w:pPr>
        <w:rPr>
          <w:lang w:val="en-US"/>
        </w:rPr>
      </w:pPr>
    </w:p>
    <w:p w14:paraId="6D0ED400" w14:textId="77777777" w:rsidR="00287D01" w:rsidRPr="00287D01" w:rsidRDefault="00287D01" w:rsidP="00287D01">
      <w:pPr>
        <w:rPr>
          <w:lang w:val="en-US"/>
        </w:rPr>
      </w:pPr>
    </w:p>
    <w:p w14:paraId="6CE7FE81" w14:textId="77777777" w:rsidR="00287D01" w:rsidRPr="00287D01" w:rsidRDefault="00287D01" w:rsidP="00287D01">
      <w:pPr>
        <w:rPr>
          <w:lang w:val="en-US"/>
        </w:rPr>
      </w:pPr>
    </w:p>
    <w:p w14:paraId="1B1B9A78" w14:textId="77777777" w:rsidR="00287D01" w:rsidRPr="00287D01" w:rsidRDefault="00287D01" w:rsidP="00287D01">
      <w:pPr>
        <w:rPr>
          <w:lang w:val="en-US"/>
        </w:rPr>
      </w:pPr>
    </w:p>
    <w:p w14:paraId="0D01ADF6" w14:textId="77777777" w:rsidR="00287D01" w:rsidRPr="00287D01" w:rsidRDefault="00287D01" w:rsidP="00287D01">
      <w:pPr>
        <w:rPr>
          <w:lang w:val="en-US"/>
        </w:rPr>
      </w:pPr>
    </w:p>
    <w:p w14:paraId="147B6AF8" w14:textId="77777777" w:rsidR="00287D01" w:rsidRPr="00287D01" w:rsidRDefault="00287D01" w:rsidP="00287D01">
      <w:pPr>
        <w:jc w:val="center"/>
        <w:rPr>
          <w:lang w:val="en-US"/>
        </w:rPr>
      </w:pPr>
      <w:r w:rsidRPr="00287D01">
        <w:rPr>
          <w:lang w:val="en-US"/>
        </w:rPr>
        <w:object w:dxaOrig="4035" w:dyaOrig="2310" w14:anchorId="522A8F5A">
          <v:shape id="_x0000_i1069" type="#_x0000_t75" style="width:201.75pt;height:115.6pt" o:ole="">
            <v:imagedata r:id="rId101" o:title=""/>
          </v:shape>
          <o:OLEObject Type="Embed" ProgID="FoxitReader.Document" ShapeID="_x0000_i1069" DrawAspect="Content" ObjectID="_1708819644" r:id="rId102"/>
        </w:object>
      </w:r>
      <w:r w:rsidRPr="00287D01">
        <w:rPr>
          <w:lang w:val="en-US"/>
        </w:rPr>
        <w:object w:dxaOrig="4170" w:dyaOrig="2445" w14:anchorId="45CA45F0">
          <v:shape id="_x0000_i1070" type="#_x0000_t75" style="width:208.5pt;height:122.25pt" o:ole="">
            <v:imagedata r:id="rId103" o:title=""/>
          </v:shape>
          <o:OLEObject Type="Embed" ProgID="FoxitReader.Document" ShapeID="_x0000_i1070" DrawAspect="Content" ObjectID="_1708819645" r:id="rId104"/>
        </w:object>
      </w:r>
    </w:p>
    <w:p w14:paraId="5DC37333" w14:textId="77777777" w:rsidR="00287D01" w:rsidRPr="00287D01" w:rsidRDefault="00287D01" w:rsidP="00287D01">
      <w:pPr>
        <w:pStyle w:val="Caption"/>
        <w:rPr>
          <w:lang w:val="en-US"/>
        </w:rPr>
      </w:pPr>
      <w:bookmarkStart w:id="45" w:name="_Toc64291946"/>
      <w:r w:rsidRPr="00287D01">
        <w:rPr>
          <w:lang w:val="en-US"/>
        </w:rPr>
        <w:t>Figure S33 shows 15 min averaged concentration time series of OOA for the periods: (a) W171115 and (b) W172303.</w:t>
      </w:r>
      <w:bookmarkEnd w:id="45"/>
    </w:p>
    <w:p w14:paraId="2E2753D4" w14:textId="77777777" w:rsidR="00287D01" w:rsidRPr="00287D01" w:rsidRDefault="00287D01" w:rsidP="00287D01">
      <w:pPr>
        <w:jc w:val="center"/>
        <w:rPr>
          <w:lang w:val="en-US"/>
        </w:rPr>
      </w:pPr>
      <w:r w:rsidRPr="00287D01">
        <w:rPr>
          <w:lang w:val="en-US"/>
        </w:rPr>
        <w:object w:dxaOrig="4035" w:dyaOrig="2310" w14:anchorId="7BE9E4A5">
          <v:shape id="_x0000_i1071" type="#_x0000_t75" style="width:201.75pt;height:115.6pt" o:ole="">
            <v:imagedata r:id="rId105" o:title=""/>
          </v:shape>
          <o:OLEObject Type="Embed" ProgID="FoxitReader.Document" ShapeID="_x0000_i1071" DrawAspect="Content" ObjectID="_1708819646" r:id="rId106"/>
        </w:object>
      </w:r>
      <w:r w:rsidRPr="00287D01">
        <w:rPr>
          <w:lang w:val="en-US"/>
        </w:rPr>
        <w:object w:dxaOrig="4040" w:dyaOrig="2310" w14:anchorId="56F593B0">
          <v:shape id="_x0000_i1072" type="#_x0000_t75" style="width:202pt;height:115.6pt" o:ole="">
            <v:imagedata r:id="rId107" o:title=""/>
          </v:shape>
          <o:OLEObject Type="Embed" ProgID="FoxitReader.Document" ShapeID="_x0000_i1072" DrawAspect="Content" ObjectID="_1708819647" r:id="rId108"/>
        </w:object>
      </w:r>
    </w:p>
    <w:p w14:paraId="7FBD3306" w14:textId="77777777" w:rsidR="00287D01" w:rsidRDefault="00287D01" w:rsidP="00287D01">
      <w:pPr>
        <w:pStyle w:val="Caption"/>
        <w:rPr>
          <w:lang w:val="en-US"/>
        </w:rPr>
      </w:pPr>
      <w:bookmarkStart w:id="46" w:name="_Toc64291947"/>
      <w:r w:rsidRPr="00287D01">
        <w:rPr>
          <w:lang w:val="en-US"/>
        </w:rPr>
        <w:t>Figure S34 shows 15 min averaged concentration time series of OOA for the periods: (a) M171115 and (b) M172303.</w:t>
      </w:r>
      <w:bookmarkEnd w:id="46"/>
      <w:r>
        <w:rPr>
          <w:lang w:val="en-US"/>
        </w:rPr>
        <w:t xml:space="preserve"> </w:t>
      </w:r>
    </w:p>
    <w:p w14:paraId="026109B5" w14:textId="77777777" w:rsidR="00287D01" w:rsidRDefault="00287D01" w:rsidP="00287D01">
      <w:pPr>
        <w:rPr>
          <w:lang w:val="en-US"/>
        </w:rPr>
      </w:pPr>
    </w:p>
    <w:p w14:paraId="712DB5A9" w14:textId="77777777" w:rsidR="00287D01" w:rsidRDefault="00287D01" w:rsidP="00287D01">
      <w:pPr>
        <w:rPr>
          <w:lang w:val="en-US"/>
        </w:rPr>
      </w:pPr>
    </w:p>
    <w:p w14:paraId="38736272" w14:textId="77777777" w:rsidR="00287D01" w:rsidRDefault="00287D01" w:rsidP="00287D01">
      <w:pPr>
        <w:rPr>
          <w:lang w:val="en-US"/>
        </w:rPr>
      </w:pPr>
    </w:p>
    <w:p w14:paraId="05EC7997" w14:textId="77777777" w:rsidR="00287D01" w:rsidRDefault="00287D01" w:rsidP="00287D01">
      <w:pPr>
        <w:rPr>
          <w:lang w:val="en-US"/>
        </w:rPr>
      </w:pPr>
    </w:p>
    <w:p w14:paraId="7AAF05A2" w14:textId="77777777" w:rsidR="00287D01" w:rsidRDefault="00287D01" w:rsidP="00287D01">
      <w:pPr>
        <w:rPr>
          <w:lang w:val="en-US"/>
        </w:rPr>
      </w:pPr>
    </w:p>
    <w:p w14:paraId="417AACC3" w14:textId="77777777" w:rsidR="00287D01" w:rsidRDefault="00287D01" w:rsidP="00287D01">
      <w:pPr>
        <w:rPr>
          <w:lang w:val="en-US"/>
        </w:rPr>
      </w:pPr>
    </w:p>
    <w:p w14:paraId="51D7DF9D" w14:textId="77777777" w:rsidR="00287D01" w:rsidRDefault="00287D01" w:rsidP="00287D01">
      <w:pPr>
        <w:rPr>
          <w:lang w:val="en-US"/>
        </w:rPr>
      </w:pPr>
    </w:p>
    <w:p w14:paraId="5FA73154" w14:textId="77777777" w:rsidR="00287D01" w:rsidRDefault="00287D01" w:rsidP="00287D01">
      <w:pPr>
        <w:rPr>
          <w:lang w:val="en-US"/>
        </w:rPr>
      </w:pPr>
    </w:p>
    <w:p w14:paraId="7C257D91" w14:textId="61A3B016" w:rsidR="00287D01" w:rsidRPr="00287D01" w:rsidRDefault="00287D01" w:rsidP="00287D01">
      <w:pPr>
        <w:jc w:val="center"/>
        <w:rPr>
          <w:lang w:val="en-US"/>
        </w:rPr>
      </w:pPr>
      <w:r w:rsidRPr="00287D01">
        <w:rPr>
          <w:lang w:val="en-US"/>
        </w:rPr>
        <w:object w:dxaOrig="8485" w:dyaOrig="3750" w14:anchorId="262FA99F">
          <v:shape id="_x0000_i1073" type="#_x0000_t75" style="width:424.25pt;height:187.7pt" o:ole="">
            <v:imagedata r:id="rId109" o:title=""/>
          </v:shape>
          <o:OLEObject Type="Embed" ProgID="FoxitReader.Document" ShapeID="_x0000_i1073" DrawAspect="Content" ObjectID="_1708819648" r:id="rId110"/>
        </w:object>
      </w:r>
    </w:p>
    <w:p w14:paraId="454F20A8" w14:textId="77777777" w:rsidR="00287D01" w:rsidRPr="00287D01" w:rsidRDefault="00287D01" w:rsidP="00287D01">
      <w:pPr>
        <w:jc w:val="center"/>
        <w:rPr>
          <w:lang w:val="en-US"/>
        </w:rPr>
      </w:pPr>
      <w:r w:rsidRPr="00287D01">
        <w:rPr>
          <w:lang w:val="en-US"/>
        </w:rPr>
        <w:object w:dxaOrig="8485" w:dyaOrig="3885" w14:anchorId="0D8AF4B5">
          <v:shape id="_x0000_i1074" type="#_x0000_t75" style="width:424.25pt;height:194.25pt" o:ole="">
            <v:imagedata r:id="rId111" o:title=""/>
          </v:shape>
          <o:OLEObject Type="Embed" ProgID="FoxitReader.Document" ShapeID="_x0000_i1074" DrawAspect="Content" ObjectID="_1708819649" r:id="rId112"/>
        </w:object>
      </w:r>
    </w:p>
    <w:p w14:paraId="07A4A5FA" w14:textId="77777777" w:rsidR="00287D01" w:rsidRPr="00287D01" w:rsidRDefault="00287D01" w:rsidP="00287D01">
      <w:pPr>
        <w:pStyle w:val="Caption"/>
        <w:rPr>
          <w:lang w:val="en-US"/>
        </w:rPr>
      </w:pPr>
      <w:bookmarkStart w:id="47" w:name="_Toc64291948"/>
      <w:r w:rsidRPr="00287D01">
        <w:rPr>
          <w:lang w:val="en-US"/>
        </w:rPr>
        <w:t>Figure S35 shows the mass spectra of (a) winter lunchtime OOA, and (b) winter nighttime OOA using the seasonal PMF approach and the time-of-day PMF approach.</w:t>
      </w:r>
      <w:bookmarkEnd w:id="47"/>
    </w:p>
    <w:p w14:paraId="52800C3C" w14:textId="77777777" w:rsidR="00287D01" w:rsidRPr="00287D01" w:rsidRDefault="00287D01" w:rsidP="00287D01">
      <w:pPr>
        <w:pStyle w:val="Caption"/>
        <w:jc w:val="center"/>
        <w:rPr>
          <w:lang w:val="en-US"/>
        </w:rPr>
      </w:pPr>
      <w:r w:rsidRPr="00287D01">
        <w:rPr>
          <w:lang w:val="en-US"/>
        </w:rPr>
        <w:object w:dxaOrig="8485" w:dyaOrig="3750" w14:anchorId="26DA8338">
          <v:shape id="_x0000_i1075" type="#_x0000_t75" style="width:424.25pt;height:187.7pt" o:ole="">
            <v:imagedata r:id="rId113" o:title=""/>
          </v:shape>
          <o:OLEObject Type="Embed" ProgID="FoxitReader.Document" ShapeID="_x0000_i1075" DrawAspect="Content" ObjectID="_1708819650" r:id="rId114"/>
        </w:object>
      </w:r>
    </w:p>
    <w:p w14:paraId="15623E47" w14:textId="77777777" w:rsidR="00287D01" w:rsidRPr="00287D01" w:rsidRDefault="00287D01" w:rsidP="00287D01">
      <w:pPr>
        <w:pStyle w:val="Caption"/>
        <w:jc w:val="center"/>
        <w:rPr>
          <w:lang w:val="en-US"/>
        </w:rPr>
      </w:pPr>
      <w:r w:rsidRPr="00287D01">
        <w:rPr>
          <w:lang w:val="en-US"/>
        </w:rPr>
        <w:object w:dxaOrig="8485" w:dyaOrig="3885" w14:anchorId="27E8CF6A">
          <v:shape id="_x0000_i1076" type="#_x0000_t75" style="width:424.25pt;height:194.25pt" o:ole="">
            <v:imagedata r:id="rId115" o:title=""/>
          </v:shape>
          <o:OLEObject Type="Embed" ProgID="FoxitReader.Document" ShapeID="_x0000_i1076" DrawAspect="Content" ObjectID="_1708819651" r:id="rId116"/>
        </w:object>
      </w:r>
    </w:p>
    <w:p w14:paraId="74FBF385" w14:textId="77777777" w:rsidR="00287D01" w:rsidRPr="00287D01" w:rsidRDefault="00287D01" w:rsidP="00287D01">
      <w:pPr>
        <w:pStyle w:val="Caption"/>
        <w:rPr>
          <w:lang w:val="en-US"/>
        </w:rPr>
      </w:pPr>
      <w:bookmarkStart w:id="48" w:name="_Toc64291949"/>
      <w:r w:rsidRPr="00287D01">
        <w:rPr>
          <w:lang w:val="en-US"/>
        </w:rPr>
        <w:t>Figure S36 shows the mass spectra of (a) monsoon lunchtime OOA, and (b) monsoon nighttime OOA using the seasonal PMF approach and the time-of-day PMF approach.</w:t>
      </w:r>
      <w:bookmarkEnd w:id="48"/>
    </w:p>
    <w:bookmarkStart w:id="49" w:name="_Hlk59906620"/>
    <w:p w14:paraId="00BA2B55" w14:textId="77777777" w:rsidR="00287D01" w:rsidRPr="00287D01" w:rsidRDefault="00287D01" w:rsidP="00287D01">
      <w:pPr>
        <w:pStyle w:val="Caption"/>
        <w:jc w:val="center"/>
        <w:rPr>
          <w:lang w:val="en-US"/>
        </w:rPr>
      </w:pPr>
      <w:r w:rsidRPr="00287D01">
        <w:rPr>
          <w:lang w:val="en-US"/>
        </w:rPr>
        <w:object w:dxaOrig="8485" w:dyaOrig="3750" w14:anchorId="2969E7B5">
          <v:shape id="_x0000_i1077" type="#_x0000_t75" style="width:424.25pt;height:187.7pt" o:ole="">
            <v:imagedata r:id="rId117" o:title=""/>
          </v:shape>
          <o:OLEObject Type="Embed" ProgID="FoxitReader.Document" ShapeID="_x0000_i1077" DrawAspect="Content" ObjectID="_1708819652" r:id="rId118"/>
        </w:object>
      </w:r>
    </w:p>
    <w:p w14:paraId="011D12A8" w14:textId="77777777" w:rsidR="00287D01" w:rsidRPr="00287D01" w:rsidRDefault="00287D01" w:rsidP="00287D01">
      <w:pPr>
        <w:pStyle w:val="Caption"/>
        <w:jc w:val="center"/>
        <w:rPr>
          <w:lang w:val="en-US"/>
        </w:rPr>
      </w:pPr>
      <w:r w:rsidRPr="00287D01">
        <w:rPr>
          <w:lang w:val="en-US"/>
        </w:rPr>
        <w:object w:dxaOrig="8485" w:dyaOrig="3885" w14:anchorId="5EEAC832">
          <v:shape id="_x0000_i1078" type="#_x0000_t75" style="width:424.25pt;height:194.25pt" o:ole="">
            <v:imagedata r:id="rId119" o:title=""/>
          </v:shape>
          <o:OLEObject Type="Embed" ProgID="FoxitReader.Document" ShapeID="_x0000_i1078" DrawAspect="Content" ObjectID="_1708819653" r:id="rId120"/>
        </w:object>
      </w:r>
    </w:p>
    <w:p w14:paraId="5361620A" w14:textId="77777777" w:rsidR="00287D01" w:rsidRPr="00287D01" w:rsidRDefault="00287D01" w:rsidP="00287D01">
      <w:pPr>
        <w:pStyle w:val="Caption"/>
        <w:rPr>
          <w:lang w:val="en-US"/>
        </w:rPr>
      </w:pPr>
      <w:bookmarkStart w:id="50" w:name="_Toc64291950"/>
      <w:r w:rsidRPr="00287D01">
        <w:rPr>
          <w:lang w:val="en-US"/>
        </w:rPr>
        <w:t>Figure S37 shows the mass spectra of winter lunchtime and nighttime OOA using (a) the seasonal PMF approach and (b) the time-of-day PMF approach.</w:t>
      </w:r>
      <w:bookmarkEnd w:id="50"/>
    </w:p>
    <w:p w14:paraId="59FB0903" w14:textId="77777777" w:rsidR="00287D01" w:rsidRPr="00287D01" w:rsidRDefault="00287D01" w:rsidP="00287D01">
      <w:pPr>
        <w:rPr>
          <w:lang w:val="en-US"/>
        </w:rPr>
      </w:pPr>
    </w:p>
    <w:p w14:paraId="0E958E7C" w14:textId="77777777" w:rsidR="00287D01" w:rsidRPr="00287D01" w:rsidRDefault="00287D01" w:rsidP="00287D01">
      <w:pPr>
        <w:rPr>
          <w:lang w:val="en-US"/>
        </w:rPr>
      </w:pPr>
    </w:p>
    <w:p w14:paraId="1A87EF16" w14:textId="77777777" w:rsidR="00287D01" w:rsidRPr="00287D01" w:rsidRDefault="00287D01" w:rsidP="00287D01">
      <w:pPr>
        <w:rPr>
          <w:lang w:val="en-US"/>
        </w:rPr>
      </w:pPr>
    </w:p>
    <w:p w14:paraId="6BEBCFC5" w14:textId="77777777" w:rsidR="00287D01" w:rsidRPr="00287D01" w:rsidRDefault="00287D01" w:rsidP="00287D01">
      <w:pPr>
        <w:jc w:val="center"/>
        <w:rPr>
          <w:lang w:val="en-US"/>
        </w:rPr>
      </w:pPr>
      <w:r w:rsidRPr="00287D01">
        <w:rPr>
          <w:lang w:val="en-US"/>
        </w:rPr>
        <w:object w:dxaOrig="8485" w:dyaOrig="3750" w14:anchorId="700EFDE7">
          <v:shape id="_x0000_i1079" type="#_x0000_t75" style="width:424.25pt;height:187.7pt" o:ole="">
            <v:imagedata r:id="rId121" o:title=""/>
          </v:shape>
          <o:OLEObject Type="Embed" ProgID="FoxitReader.Document" ShapeID="_x0000_i1079" DrawAspect="Content" ObjectID="_1708819654" r:id="rId122"/>
        </w:object>
      </w:r>
    </w:p>
    <w:p w14:paraId="508E9BEC" w14:textId="77777777" w:rsidR="00287D01" w:rsidRPr="00287D01" w:rsidRDefault="00287D01" w:rsidP="00287D01">
      <w:pPr>
        <w:jc w:val="center"/>
        <w:rPr>
          <w:lang w:val="en-US"/>
        </w:rPr>
      </w:pPr>
      <w:r w:rsidRPr="00287D01">
        <w:rPr>
          <w:lang w:val="en-US"/>
        </w:rPr>
        <w:object w:dxaOrig="8485" w:dyaOrig="3885" w14:anchorId="0A2F7BA9">
          <v:shape id="_x0000_i1080" type="#_x0000_t75" style="width:424.25pt;height:194.25pt" o:ole="">
            <v:imagedata r:id="rId123" o:title=""/>
          </v:shape>
          <o:OLEObject Type="Embed" ProgID="FoxitReader.Document" ShapeID="_x0000_i1080" DrawAspect="Content" ObjectID="_1708819655" r:id="rId124"/>
        </w:object>
      </w:r>
    </w:p>
    <w:p w14:paraId="0A00812F" w14:textId="77777777" w:rsidR="00287D01" w:rsidRPr="00287D01" w:rsidRDefault="00287D01" w:rsidP="00287D01">
      <w:pPr>
        <w:pStyle w:val="Caption"/>
        <w:rPr>
          <w:lang w:val="en-US"/>
        </w:rPr>
      </w:pPr>
      <w:bookmarkStart w:id="51" w:name="_Toc64291951"/>
      <w:r w:rsidRPr="00287D01">
        <w:rPr>
          <w:lang w:val="en-US"/>
        </w:rPr>
        <w:t>Figure S38 shows the mass spectra of monsoon lunchtime and nighttime OOA using (a) the seasonal PMF approach and (b) the time-of-day PMF approach.</w:t>
      </w:r>
      <w:bookmarkEnd w:id="49"/>
      <w:bookmarkEnd w:id="51"/>
    </w:p>
    <w:p w14:paraId="79E01188" w14:textId="77777777" w:rsidR="00D92235" w:rsidRPr="00D92235" w:rsidRDefault="00D92235" w:rsidP="00D92235">
      <w:pPr>
        <w:pStyle w:val="Heading2"/>
        <w:rPr>
          <w:lang w:val="en-US"/>
        </w:rPr>
      </w:pPr>
      <w:bookmarkStart w:id="52" w:name="_Toc64291798"/>
      <w:r w:rsidRPr="00D92235">
        <w:rPr>
          <w:lang w:val="en-US"/>
        </w:rPr>
        <w:t>S5 References</w:t>
      </w:r>
      <w:bookmarkEnd w:id="52"/>
    </w:p>
    <w:p w14:paraId="240D8A0A" w14:textId="1B58C513" w:rsidR="00D92235" w:rsidRPr="00D92235" w:rsidRDefault="00D92235" w:rsidP="00D92235">
      <w:pPr>
        <w:pStyle w:val="ListParagraph"/>
        <w:numPr>
          <w:ilvl w:val="0"/>
          <w:numId w:val="4"/>
        </w:numPr>
        <w:rPr>
          <w:lang w:val="en-US"/>
        </w:rPr>
      </w:pPr>
      <w:r w:rsidRPr="00D92235">
        <w:rPr>
          <w:lang w:val="en-US"/>
        </w:rPr>
        <w:t xml:space="preserve">Bhandari, S., Gani, S., Patel, K., Wang, D. S., Soni, P., Arub, Z., Habib, G., Apte, J. S., and Ruiz, L. H.: Sources and atmospheric dynamics of organic aerosol in New Delhi, India: insights from receptor modeling, Atmospheric Chemistry and Physics, 20, 735–752, URL </w:t>
      </w:r>
      <w:hyperlink r:id="rId125" w:history="1">
        <w:r w:rsidRPr="00D92235">
          <w:rPr>
            <w:rStyle w:val="Hyperlink"/>
            <w:lang w:val="en-US"/>
          </w:rPr>
          <w:t>https://acp.copernicus.org/articles/20/735/2020/</w:t>
        </w:r>
      </w:hyperlink>
      <w:r w:rsidRPr="00D92235">
        <w:rPr>
          <w:lang w:val="en-US"/>
        </w:rPr>
        <w:t>, 2020.</w:t>
      </w:r>
    </w:p>
    <w:p w14:paraId="36757062" w14:textId="5645B35D" w:rsidR="00D92235" w:rsidRPr="00D92235" w:rsidRDefault="00D92235" w:rsidP="00D92235">
      <w:pPr>
        <w:pStyle w:val="ListParagraph"/>
        <w:numPr>
          <w:ilvl w:val="0"/>
          <w:numId w:val="4"/>
        </w:numPr>
        <w:rPr>
          <w:lang w:val="en-US"/>
        </w:rPr>
      </w:pPr>
      <w:r w:rsidRPr="00D92235">
        <w:rPr>
          <w:lang w:val="en-US"/>
        </w:rPr>
        <w:t xml:space="preserve">Canonaco, F., Slowik, J. G., Baltensperger, U., and Prévôt, A. S. H.: Seasonal differences in oxygenated organic aerosol composition: implications for emissions sources and factor analysis, Atmospheric Chemistry and Physics, 15, 6993–7002, URL </w:t>
      </w:r>
      <w:hyperlink r:id="rId126" w:history="1">
        <w:r w:rsidRPr="00D92235">
          <w:rPr>
            <w:rStyle w:val="Hyperlink"/>
            <w:lang w:val="en-US"/>
          </w:rPr>
          <w:t>https://acp.copernicus.org/articles/15/6993/2015/</w:t>
        </w:r>
      </w:hyperlink>
      <w:r w:rsidRPr="00D92235">
        <w:rPr>
          <w:lang w:val="en-US"/>
        </w:rPr>
        <w:t>, 2015.</w:t>
      </w:r>
    </w:p>
    <w:p w14:paraId="375DB218" w14:textId="77777777" w:rsidR="00D92235" w:rsidRDefault="00D92235" w:rsidP="00D92235">
      <w:pPr>
        <w:pStyle w:val="ListParagraph"/>
        <w:numPr>
          <w:ilvl w:val="0"/>
          <w:numId w:val="4"/>
        </w:numPr>
        <w:rPr>
          <w:lang w:val="en-US"/>
        </w:rPr>
      </w:pPr>
      <w:proofErr w:type="spellStart"/>
      <w:r w:rsidRPr="00D92235">
        <w:rPr>
          <w:lang w:val="en-US"/>
        </w:rPr>
        <w:t>Carslaw</w:t>
      </w:r>
      <w:proofErr w:type="spellEnd"/>
      <w:r w:rsidRPr="00D92235">
        <w:rPr>
          <w:lang w:val="en-US"/>
        </w:rPr>
        <w:t xml:space="preserve">, D. C. and </w:t>
      </w:r>
      <w:proofErr w:type="spellStart"/>
      <w:r w:rsidRPr="00D92235">
        <w:rPr>
          <w:lang w:val="en-US"/>
        </w:rPr>
        <w:t>Ropkins</w:t>
      </w:r>
      <w:proofErr w:type="spellEnd"/>
      <w:r w:rsidRPr="00D92235">
        <w:rPr>
          <w:lang w:val="en-US"/>
        </w:rPr>
        <w:t xml:space="preserve">, K.: </w:t>
      </w:r>
      <w:proofErr w:type="spellStart"/>
      <w:r w:rsidRPr="00D92235">
        <w:rPr>
          <w:lang w:val="en-US"/>
        </w:rPr>
        <w:t>openair</w:t>
      </w:r>
      <w:proofErr w:type="spellEnd"/>
      <w:r w:rsidRPr="00D92235">
        <w:rPr>
          <w:lang w:val="en-US"/>
        </w:rPr>
        <w:t xml:space="preserve">: </w:t>
      </w:r>
      <w:proofErr w:type="gramStart"/>
      <w:r w:rsidRPr="00D92235">
        <w:rPr>
          <w:lang w:val="en-US"/>
        </w:rPr>
        <w:t>an</w:t>
      </w:r>
      <w:proofErr w:type="gramEnd"/>
      <w:r w:rsidRPr="00D92235">
        <w:rPr>
          <w:lang w:val="en-US"/>
        </w:rPr>
        <w:t xml:space="preserve"> R package for air quality data analysis, Environmental Modelling and Software, 27–28, 52–61, URL </w:t>
      </w:r>
      <w:hyperlink r:id="rId127" w:history="1">
        <w:r w:rsidRPr="00D92235">
          <w:rPr>
            <w:rStyle w:val="Hyperlink"/>
            <w:lang w:val="en-US"/>
          </w:rPr>
          <w:t>https://doi.org/10.1016/j.envsoft.2011.09.008</w:t>
        </w:r>
      </w:hyperlink>
      <w:r w:rsidRPr="00D92235">
        <w:rPr>
          <w:lang w:val="en-US"/>
        </w:rPr>
        <w:t xml:space="preserve">, 2012. </w:t>
      </w:r>
    </w:p>
    <w:p w14:paraId="0FCC9C10" w14:textId="738F1F6A" w:rsidR="00D92235" w:rsidRPr="00D92235" w:rsidRDefault="00D92235" w:rsidP="007F307A">
      <w:pPr>
        <w:pStyle w:val="ListParagraph"/>
        <w:numPr>
          <w:ilvl w:val="0"/>
          <w:numId w:val="4"/>
        </w:numPr>
        <w:jc w:val="left"/>
        <w:rPr>
          <w:lang w:val="en-US"/>
        </w:rPr>
      </w:pPr>
      <w:proofErr w:type="spellStart"/>
      <w:r w:rsidRPr="00D92235">
        <w:rPr>
          <w:lang w:val="en-US"/>
        </w:rPr>
        <w:t>Crippa</w:t>
      </w:r>
      <w:proofErr w:type="spellEnd"/>
      <w:r w:rsidRPr="00D92235">
        <w:rPr>
          <w:lang w:val="en-US"/>
        </w:rPr>
        <w:t xml:space="preserve">, M., </w:t>
      </w:r>
      <w:proofErr w:type="spellStart"/>
      <w:r w:rsidRPr="00D92235">
        <w:rPr>
          <w:lang w:val="en-US"/>
        </w:rPr>
        <w:t>Solazzo</w:t>
      </w:r>
      <w:proofErr w:type="spellEnd"/>
      <w:r w:rsidRPr="00D92235">
        <w:rPr>
          <w:lang w:val="en-US"/>
        </w:rPr>
        <w:t xml:space="preserve">, E., Huang, G., </w:t>
      </w:r>
      <w:proofErr w:type="spellStart"/>
      <w:r w:rsidRPr="00D92235">
        <w:rPr>
          <w:lang w:val="en-US"/>
        </w:rPr>
        <w:t>Guizzardi</w:t>
      </w:r>
      <w:proofErr w:type="spellEnd"/>
      <w:r w:rsidRPr="00D92235">
        <w:rPr>
          <w:lang w:val="en-US"/>
        </w:rPr>
        <w:t xml:space="preserve">, D., </w:t>
      </w:r>
      <w:proofErr w:type="spellStart"/>
      <w:r w:rsidRPr="00D92235">
        <w:rPr>
          <w:lang w:val="en-US"/>
        </w:rPr>
        <w:t>Koffi</w:t>
      </w:r>
      <w:proofErr w:type="spellEnd"/>
      <w:r w:rsidRPr="00D92235">
        <w:rPr>
          <w:lang w:val="en-US"/>
        </w:rPr>
        <w:t xml:space="preserve">, E., </w:t>
      </w:r>
      <w:proofErr w:type="spellStart"/>
      <w:r w:rsidRPr="00D92235">
        <w:rPr>
          <w:lang w:val="en-US"/>
        </w:rPr>
        <w:t>Muntean</w:t>
      </w:r>
      <w:proofErr w:type="spellEnd"/>
      <w:r w:rsidRPr="00D92235">
        <w:rPr>
          <w:lang w:val="en-US"/>
        </w:rPr>
        <w:t xml:space="preserve">, M., </w:t>
      </w:r>
      <w:proofErr w:type="spellStart"/>
      <w:r w:rsidRPr="00D92235">
        <w:rPr>
          <w:lang w:val="en-US"/>
        </w:rPr>
        <w:t>Schieberle</w:t>
      </w:r>
      <w:proofErr w:type="spellEnd"/>
      <w:r w:rsidRPr="00D92235">
        <w:rPr>
          <w:lang w:val="en-US"/>
        </w:rPr>
        <w:t>, C., Friedrich, R., and Janssens-</w:t>
      </w:r>
      <w:proofErr w:type="spellStart"/>
      <w:r w:rsidRPr="00D92235">
        <w:rPr>
          <w:lang w:val="en-US"/>
        </w:rPr>
        <w:t>Maenhout</w:t>
      </w:r>
      <w:proofErr w:type="spellEnd"/>
      <w:r w:rsidRPr="00D92235">
        <w:rPr>
          <w:lang w:val="en-US"/>
        </w:rPr>
        <w:t xml:space="preserve">, G.: High resolution temporal profiles in the Emissions Database for Global Atmospheric Research, Scientific Data, 7, 1–17, URL </w:t>
      </w:r>
      <w:hyperlink r:id="rId128" w:history="1">
        <w:r w:rsidRPr="00D92235">
          <w:rPr>
            <w:rStyle w:val="Hyperlink"/>
            <w:lang w:val="en-US"/>
          </w:rPr>
          <w:t>https://www.nature.com/articles/s41597-020-0462-2</w:t>
        </w:r>
      </w:hyperlink>
      <w:r w:rsidRPr="00D92235">
        <w:rPr>
          <w:lang w:val="en-US"/>
        </w:rPr>
        <w:t>, 2020.</w:t>
      </w:r>
    </w:p>
    <w:p w14:paraId="378BCEF4" w14:textId="618C4721" w:rsidR="00D92235" w:rsidRPr="007F307A" w:rsidRDefault="00D92235" w:rsidP="007F307A">
      <w:pPr>
        <w:pStyle w:val="ListParagraph"/>
        <w:numPr>
          <w:ilvl w:val="0"/>
          <w:numId w:val="4"/>
        </w:numPr>
        <w:rPr>
          <w:lang w:val="en-US"/>
        </w:rPr>
      </w:pPr>
      <w:r w:rsidRPr="007F307A">
        <w:rPr>
          <w:lang w:val="en-US"/>
        </w:rPr>
        <w:t xml:space="preserve">Fröhlich, R., </w:t>
      </w:r>
      <w:proofErr w:type="spellStart"/>
      <w:r w:rsidRPr="007F307A">
        <w:rPr>
          <w:lang w:val="en-US"/>
        </w:rPr>
        <w:t>Crenn</w:t>
      </w:r>
      <w:proofErr w:type="spellEnd"/>
      <w:r w:rsidRPr="007F307A">
        <w:rPr>
          <w:lang w:val="en-US"/>
        </w:rPr>
        <w:t xml:space="preserve">, V., </w:t>
      </w:r>
      <w:proofErr w:type="spellStart"/>
      <w:r w:rsidRPr="007F307A">
        <w:rPr>
          <w:lang w:val="en-US"/>
        </w:rPr>
        <w:t>Setyan</w:t>
      </w:r>
      <w:proofErr w:type="spellEnd"/>
      <w:r w:rsidRPr="007F307A">
        <w:rPr>
          <w:lang w:val="en-US"/>
        </w:rPr>
        <w:t xml:space="preserve">, A., </w:t>
      </w:r>
      <w:proofErr w:type="spellStart"/>
      <w:r w:rsidRPr="007F307A">
        <w:rPr>
          <w:lang w:val="en-US"/>
        </w:rPr>
        <w:t>Belis</w:t>
      </w:r>
      <w:proofErr w:type="spellEnd"/>
      <w:r w:rsidRPr="007F307A">
        <w:rPr>
          <w:lang w:val="en-US"/>
        </w:rPr>
        <w:t xml:space="preserve">, C. A., Canonaco, F., </w:t>
      </w:r>
      <w:proofErr w:type="spellStart"/>
      <w:r w:rsidRPr="007F307A">
        <w:rPr>
          <w:lang w:val="en-US"/>
        </w:rPr>
        <w:t>Favez</w:t>
      </w:r>
      <w:proofErr w:type="spellEnd"/>
      <w:r w:rsidRPr="007F307A">
        <w:rPr>
          <w:lang w:val="en-US"/>
        </w:rPr>
        <w:t xml:space="preserve">, O., </w:t>
      </w:r>
      <w:proofErr w:type="spellStart"/>
      <w:r w:rsidRPr="007F307A">
        <w:rPr>
          <w:lang w:val="en-US"/>
        </w:rPr>
        <w:t>Riffault</w:t>
      </w:r>
      <w:proofErr w:type="spellEnd"/>
      <w:r w:rsidRPr="007F307A">
        <w:rPr>
          <w:lang w:val="en-US"/>
        </w:rPr>
        <w:t xml:space="preserve">, V., Slowik, J. G., </w:t>
      </w:r>
      <w:proofErr w:type="spellStart"/>
      <w:r w:rsidRPr="007F307A">
        <w:rPr>
          <w:lang w:val="en-US"/>
        </w:rPr>
        <w:t>Aas</w:t>
      </w:r>
      <w:proofErr w:type="spellEnd"/>
      <w:r w:rsidRPr="007F307A">
        <w:rPr>
          <w:lang w:val="en-US"/>
        </w:rPr>
        <w:t xml:space="preserve">, W., </w:t>
      </w:r>
      <w:proofErr w:type="spellStart"/>
      <w:r w:rsidRPr="007F307A">
        <w:rPr>
          <w:lang w:val="en-US"/>
        </w:rPr>
        <w:t>Aijälä</w:t>
      </w:r>
      <w:proofErr w:type="spellEnd"/>
      <w:r w:rsidRPr="007F307A">
        <w:rPr>
          <w:lang w:val="en-US"/>
        </w:rPr>
        <w:t xml:space="preserve">, M., </w:t>
      </w:r>
      <w:proofErr w:type="spellStart"/>
      <w:r w:rsidRPr="007F307A">
        <w:rPr>
          <w:lang w:val="en-US"/>
        </w:rPr>
        <w:t>Alastuey</w:t>
      </w:r>
      <w:proofErr w:type="spellEnd"/>
      <w:r w:rsidRPr="007F307A">
        <w:rPr>
          <w:lang w:val="en-US"/>
        </w:rPr>
        <w:t xml:space="preserve">, A., </w:t>
      </w:r>
      <w:proofErr w:type="spellStart"/>
      <w:r w:rsidRPr="007F307A">
        <w:rPr>
          <w:lang w:val="en-US"/>
        </w:rPr>
        <w:t>Artiñano</w:t>
      </w:r>
      <w:proofErr w:type="spellEnd"/>
      <w:r w:rsidRPr="007F307A">
        <w:rPr>
          <w:lang w:val="en-US"/>
        </w:rPr>
        <w:t xml:space="preserve">, S, </w:t>
      </w:r>
      <w:proofErr w:type="spellStart"/>
      <w:r w:rsidRPr="007F307A">
        <w:rPr>
          <w:lang w:val="en-US"/>
        </w:rPr>
        <w:t>Bonnaire</w:t>
      </w:r>
      <w:proofErr w:type="spellEnd"/>
      <w:r w:rsidRPr="007F307A">
        <w:rPr>
          <w:lang w:val="en-US"/>
        </w:rPr>
        <w:t xml:space="preserve">, N., </w:t>
      </w:r>
      <w:proofErr w:type="spellStart"/>
      <w:r w:rsidRPr="007F307A">
        <w:rPr>
          <w:lang w:val="en-US"/>
        </w:rPr>
        <w:t>Bozzetti</w:t>
      </w:r>
      <w:proofErr w:type="spellEnd"/>
      <w:r w:rsidRPr="007F307A">
        <w:rPr>
          <w:lang w:val="en-US"/>
        </w:rPr>
        <w:t xml:space="preserve">, C., </w:t>
      </w:r>
      <w:proofErr w:type="spellStart"/>
      <w:r w:rsidRPr="007F307A">
        <w:rPr>
          <w:lang w:val="en-US"/>
        </w:rPr>
        <w:t>Bressi</w:t>
      </w:r>
      <w:proofErr w:type="spellEnd"/>
      <w:r w:rsidRPr="007F307A">
        <w:rPr>
          <w:lang w:val="en-US"/>
        </w:rPr>
        <w:t xml:space="preserve">, M., Carbone, C., Coz, E., Croteau, P. L., </w:t>
      </w:r>
      <w:proofErr w:type="spellStart"/>
      <w:r w:rsidRPr="007F307A">
        <w:rPr>
          <w:lang w:val="en-US"/>
        </w:rPr>
        <w:t>Cubison</w:t>
      </w:r>
      <w:proofErr w:type="spellEnd"/>
      <w:r w:rsidRPr="007F307A">
        <w:rPr>
          <w:lang w:val="en-US"/>
        </w:rPr>
        <w:t xml:space="preserve">, M. J., </w:t>
      </w:r>
      <w:proofErr w:type="spellStart"/>
      <w:r w:rsidRPr="007F307A">
        <w:rPr>
          <w:lang w:val="en-US"/>
        </w:rPr>
        <w:t>Esser-Gietl</w:t>
      </w:r>
      <w:proofErr w:type="spellEnd"/>
      <w:r w:rsidRPr="007F307A">
        <w:rPr>
          <w:lang w:val="en-US"/>
        </w:rPr>
        <w:t xml:space="preserve">, J. K., Green, D. C., Gros, V., Heikkinen, L., Herrmann, H., Jayne, J. T., </w:t>
      </w:r>
      <w:proofErr w:type="spellStart"/>
      <w:r w:rsidRPr="007F307A">
        <w:rPr>
          <w:lang w:val="en-US"/>
        </w:rPr>
        <w:t>Lunder</w:t>
      </w:r>
      <w:proofErr w:type="spellEnd"/>
      <w:r w:rsidRPr="007F307A">
        <w:rPr>
          <w:lang w:val="en-US"/>
        </w:rPr>
        <w:t xml:space="preserve">, C. R., </w:t>
      </w:r>
      <w:proofErr w:type="spellStart"/>
      <w:r w:rsidRPr="007F307A">
        <w:rPr>
          <w:lang w:val="en-US"/>
        </w:rPr>
        <w:t>Minguillón</w:t>
      </w:r>
      <w:proofErr w:type="spellEnd"/>
      <w:r w:rsidRPr="007F307A">
        <w:rPr>
          <w:lang w:val="en-US"/>
        </w:rPr>
        <w:t xml:space="preserve">, M. C., Mocnik, G., O’Dowd, C. D., </w:t>
      </w:r>
      <w:proofErr w:type="spellStart"/>
      <w:r w:rsidRPr="007F307A">
        <w:rPr>
          <w:lang w:val="en-US"/>
        </w:rPr>
        <w:t>Ovadnevaite</w:t>
      </w:r>
      <w:proofErr w:type="spellEnd"/>
      <w:r w:rsidRPr="007F307A">
        <w:rPr>
          <w:lang w:val="en-US"/>
        </w:rPr>
        <w:t xml:space="preserve">, J., </w:t>
      </w:r>
      <w:proofErr w:type="spellStart"/>
      <w:r w:rsidRPr="007F307A">
        <w:rPr>
          <w:lang w:val="en-US"/>
        </w:rPr>
        <w:t>Petralia</w:t>
      </w:r>
      <w:proofErr w:type="spellEnd"/>
      <w:r w:rsidRPr="007F307A">
        <w:rPr>
          <w:lang w:val="en-US"/>
        </w:rPr>
        <w:t xml:space="preserve">, E., </w:t>
      </w:r>
      <w:proofErr w:type="spellStart"/>
      <w:r w:rsidRPr="007F307A">
        <w:rPr>
          <w:lang w:val="en-US"/>
        </w:rPr>
        <w:t>Poulain</w:t>
      </w:r>
      <w:proofErr w:type="spellEnd"/>
      <w:r w:rsidRPr="007F307A">
        <w:rPr>
          <w:lang w:val="en-US"/>
        </w:rPr>
        <w:t xml:space="preserve">, L., </w:t>
      </w:r>
      <w:proofErr w:type="spellStart"/>
      <w:r w:rsidRPr="007F307A">
        <w:rPr>
          <w:lang w:val="en-US"/>
        </w:rPr>
        <w:t>Priestman</w:t>
      </w:r>
      <w:proofErr w:type="spellEnd"/>
      <w:r w:rsidRPr="007F307A">
        <w:rPr>
          <w:lang w:val="en-US"/>
        </w:rPr>
        <w:t xml:space="preserve">, M., Ripoll, A., </w:t>
      </w:r>
      <w:proofErr w:type="spellStart"/>
      <w:r w:rsidRPr="007F307A">
        <w:rPr>
          <w:lang w:val="en-US"/>
        </w:rPr>
        <w:t>Sarda-Estève</w:t>
      </w:r>
      <w:proofErr w:type="spellEnd"/>
      <w:r w:rsidRPr="007F307A">
        <w:rPr>
          <w:lang w:val="en-US"/>
        </w:rPr>
        <w:t xml:space="preserve">, R., </w:t>
      </w:r>
      <w:proofErr w:type="spellStart"/>
      <w:r w:rsidRPr="007F307A">
        <w:rPr>
          <w:lang w:val="en-US"/>
        </w:rPr>
        <w:t>Wiedensohler</w:t>
      </w:r>
      <w:proofErr w:type="spellEnd"/>
      <w:r w:rsidRPr="007F307A">
        <w:rPr>
          <w:lang w:val="en-US"/>
        </w:rPr>
        <w:t xml:space="preserve">, A., Baltensperger, U., </w:t>
      </w:r>
      <w:proofErr w:type="spellStart"/>
      <w:r w:rsidRPr="007F307A">
        <w:rPr>
          <w:lang w:val="en-US"/>
        </w:rPr>
        <w:t>Sciare</w:t>
      </w:r>
      <w:proofErr w:type="spellEnd"/>
      <w:r w:rsidRPr="007F307A">
        <w:rPr>
          <w:lang w:val="en-US"/>
        </w:rPr>
        <w:t xml:space="preserve">, J., and Prévôt, A. S. H.: ACTRIS ACSM </w:t>
      </w:r>
      <w:proofErr w:type="spellStart"/>
      <w:r w:rsidRPr="007F307A">
        <w:rPr>
          <w:lang w:val="en-US"/>
        </w:rPr>
        <w:t>intercomparison</w:t>
      </w:r>
      <w:proofErr w:type="spellEnd"/>
      <w:r w:rsidRPr="007F307A">
        <w:rPr>
          <w:lang w:val="en-US"/>
        </w:rPr>
        <w:t xml:space="preserve">–Part 2: </w:t>
      </w:r>
      <w:proofErr w:type="spellStart"/>
      <w:r w:rsidRPr="007F307A">
        <w:rPr>
          <w:lang w:val="en-US"/>
        </w:rPr>
        <w:t>intercomparison</w:t>
      </w:r>
      <w:proofErr w:type="spellEnd"/>
      <w:r w:rsidRPr="007F307A">
        <w:rPr>
          <w:lang w:val="en-US"/>
        </w:rPr>
        <w:t xml:space="preserve"> of ME-2 organic source apportionment results from 15 individual, co-located aerosol mass spectrometers, Atmospheric Measurement Techniques, 8, 2555–2576,</w:t>
      </w:r>
      <w:r w:rsidRPr="007F307A">
        <w:rPr>
          <w:lang w:val="en-US"/>
        </w:rPr>
        <w:br/>
        <w:t xml:space="preserve">URL </w:t>
      </w:r>
      <w:hyperlink r:id="rId129" w:history="1">
        <w:r w:rsidRPr="007F307A">
          <w:rPr>
            <w:rStyle w:val="Hyperlink"/>
            <w:lang w:val="en-US"/>
          </w:rPr>
          <w:t>https://amt.copernicus.org/articles/8/2555/2015/</w:t>
        </w:r>
      </w:hyperlink>
      <w:r w:rsidRPr="007F307A">
        <w:rPr>
          <w:lang w:val="en-US"/>
        </w:rPr>
        <w:t>, 2015.</w:t>
      </w:r>
    </w:p>
    <w:p w14:paraId="098F48E0" w14:textId="3EC788BF" w:rsidR="00D92235" w:rsidRPr="007F307A" w:rsidRDefault="00D92235" w:rsidP="007F307A">
      <w:pPr>
        <w:pStyle w:val="ListParagraph"/>
        <w:numPr>
          <w:ilvl w:val="0"/>
          <w:numId w:val="4"/>
        </w:numPr>
        <w:rPr>
          <w:lang w:val="en-US"/>
        </w:rPr>
      </w:pPr>
      <w:r w:rsidRPr="007F307A">
        <w:rPr>
          <w:lang w:val="en-US"/>
        </w:rPr>
        <w:t xml:space="preserve">Gani, S., Bhandari, S., Seraj, S., Wang, D. S., Patel, K., Soni, P., Arub, Z., Habib, G., Hildebrandt Ruiz, L., and Apte, J.: Submicron aerosol composition in the world's most polluted megacity: The Delhi Aerosol Supersite study, Atmos. Chem. Phys., 19, 6843–6859, URL </w:t>
      </w:r>
      <w:hyperlink r:id="rId130" w:history="1">
        <w:r w:rsidRPr="007F307A">
          <w:rPr>
            <w:rStyle w:val="Hyperlink"/>
            <w:lang w:val="en-US"/>
          </w:rPr>
          <w:t>https://doi.org/10.5194/acp-19-6843-2019</w:t>
        </w:r>
      </w:hyperlink>
      <w:r w:rsidRPr="007F307A">
        <w:rPr>
          <w:lang w:val="en-US"/>
        </w:rPr>
        <w:t>, 2019.</w:t>
      </w:r>
    </w:p>
    <w:p w14:paraId="58EB71DF" w14:textId="784D67FB" w:rsidR="00D92235" w:rsidRPr="007F307A" w:rsidRDefault="00D92235" w:rsidP="007F307A">
      <w:pPr>
        <w:pStyle w:val="ListParagraph"/>
        <w:numPr>
          <w:ilvl w:val="0"/>
          <w:numId w:val="4"/>
        </w:numPr>
        <w:rPr>
          <w:lang w:val="en-US"/>
        </w:rPr>
      </w:pPr>
      <w:proofErr w:type="spellStart"/>
      <w:r w:rsidRPr="007F307A">
        <w:rPr>
          <w:lang w:val="en-US"/>
        </w:rPr>
        <w:t>Grolemund</w:t>
      </w:r>
      <w:proofErr w:type="spellEnd"/>
      <w:r w:rsidRPr="007F307A">
        <w:rPr>
          <w:lang w:val="en-US"/>
        </w:rPr>
        <w:t xml:space="preserve">, G. and Wickham, H.: Dates and times made easy with </w:t>
      </w:r>
      <w:proofErr w:type="spellStart"/>
      <w:r w:rsidRPr="007F307A">
        <w:rPr>
          <w:lang w:val="en-US"/>
        </w:rPr>
        <w:t>lubridate</w:t>
      </w:r>
      <w:proofErr w:type="spellEnd"/>
      <w:r w:rsidRPr="007F307A">
        <w:rPr>
          <w:lang w:val="en-US"/>
        </w:rPr>
        <w:t xml:space="preserve">, Journal of Statistical Software, 40, 1–25, URL </w:t>
      </w:r>
      <w:hyperlink r:id="rId131" w:history="1">
        <w:r w:rsidRPr="007F307A">
          <w:rPr>
            <w:rStyle w:val="Hyperlink"/>
            <w:lang w:val="en-US"/>
          </w:rPr>
          <w:t>http://www.jstatsoft.org/v40/i03/</w:t>
        </w:r>
      </w:hyperlink>
      <w:r w:rsidRPr="007F307A">
        <w:rPr>
          <w:lang w:val="en-US"/>
        </w:rPr>
        <w:t>, 2011.</w:t>
      </w:r>
    </w:p>
    <w:p w14:paraId="5B7C5033" w14:textId="00C8C86B" w:rsidR="00D92235" w:rsidRPr="007F307A" w:rsidRDefault="00D92235" w:rsidP="007F307A">
      <w:pPr>
        <w:pStyle w:val="ListParagraph"/>
        <w:numPr>
          <w:ilvl w:val="0"/>
          <w:numId w:val="4"/>
        </w:numPr>
        <w:rPr>
          <w:lang w:val="en-US"/>
        </w:rPr>
      </w:pPr>
      <w:r w:rsidRPr="007F307A">
        <w:rPr>
          <w:lang w:val="en-US"/>
        </w:rPr>
        <w:t xml:space="preserve">Hayfield, T. and Racine, J. S.: Nonparametric econometrics: the np package, Journal of Statistical Software, 27, URL </w:t>
      </w:r>
      <w:hyperlink r:id="rId132" w:history="1">
        <w:r w:rsidRPr="007F307A">
          <w:rPr>
            <w:rStyle w:val="Hyperlink"/>
            <w:lang w:val="en-US"/>
          </w:rPr>
          <w:t>http://www.jstatsoft.org/v27/i05/</w:t>
        </w:r>
      </w:hyperlink>
      <w:r w:rsidRPr="007F307A">
        <w:rPr>
          <w:lang w:val="en-US"/>
        </w:rPr>
        <w:t>, 2008.</w:t>
      </w:r>
    </w:p>
    <w:p w14:paraId="4B1DACB6" w14:textId="7501594D" w:rsidR="00D92235" w:rsidRPr="007F307A" w:rsidRDefault="00D92235" w:rsidP="007F307A">
      <w:pPr>
        <w:pStyle w:val="ListParagraph"/>
        <w:numPr>
          <w:ilvl w:val="0"/>
          <w:numId w:val="4"/>
        </w:numPr>
        <w:rPr>
          <w:lang w:val="en-US"/>
        </w:rPr>
      </w:pPr>
      <w:proofErr w:type="spellStart"/>
      <w:r w:rsidRPr="007F307A">
        <w:rPr>
          <w:lang w:val="en-US"/>
        </w:rPr>
        <w:t>Hemann</w:t>
      </w:r>
      <w:proofErr w:type="spellEnd"/>
      <w:r w:rsidRPr="007F307A">
        <w:rPr>
          <w:lang w:val="en-US"/>
        </w:rPr>
        <w:t xml:space="preserve">, J. G., Brinkman, G. L., Dutton, S. J., Hannigan, M. P., Milford, J. S, and Miller, S.L.: Assessing positive matrix factorization model fit: a new method to estimate uncertainty and bias in factor contributions at the measurement time scale, Atmospheric Chemistry and Physics, 9, 497–513, </w:t>
      </w:r>
      <w:r w:rsidRPr="007F307A">
        <w:rPr>
          <w:lang w:val="en-US"/>
        </w:rPr>
        <w:br/>
        <w:t xml:space="preserve">URL </w:t>
      </w:r>
      <w:hyperlink r:id="rId133" w:history="1">
        <w:r w:rsidRPr="007F307A">
          <w:rPr>
            <w:rStyle w:val="Hyperlink"/>
            <w:lang w:val="en-US"/>
          </w:rPr>
          <w:t>https://acp.copernicus.org/articles/9/497/2009/</w:t>
        </w:r>
      </w:hyperlink>
      <w:r w:rsidRPr="007F307A">
        <w:rPr>
          <w:lang w:val="en-US"/>
        </w:rPr>
        <w:t>, 2009.</w:t>
      </w:r>
    </w:p>
    <w:p w14:paraId="4C77A971" w14:textId="641DF692" w:rsidR="00D92235" w:rsidRPr="007F307A" w:rsidRDefault="00D92235" w:rsidP="007F307A">
      <w:pPr>
        <w:pStyle w:val="ListParagraph"/>
        <w:numPr>
          <w:ilvl w:val="0"/>
          <w:numId w:val="4"/>
        </w:numPr>
        <w:rPr>
          <w:lang w:val="en-US"/>
        </w:rPr>
      </w:pPr>
      <w:r w:rsidRPr="007F307A">
        <w:rPr>
          <w:lang w:val="en-US"/>
        </w:rPr>
        <w:t xml:space="preserve">Jimenez, J. L., Canagaratna, M. R., Donahue, N. M., </w:t>
      </w:r>
      <w:proofErr w:type="spellStart"/>
      <w:r w:rsidRPr="007F307A">
        <w:rPr>
          <w:lang w:val="en-US"/>
        </w:rPr>
        <w:t>Prevot</w:t>
      </w:r>
      <w:proofErr w:type="spellEnd"/>
      <w:r w:rsidRPr="007F307A">
        <w:rPr>
          <w:lang w:val="en-US"/>
        </w:rPr>
        <w:t xml:space="preserve">, A. S., Zhang, </w:t>
      </w:r>
      <w:r w:rsidR="003C0805" w:rsidRPr="003C0805">
        <w:rPr>
          <w:i/>
          <w:lang w:val="en-US"/>
        </w:rPr>
        <w:t>Q</w:t>
      </w:r>
      <w:r w:rsidRPr="007F307A">
        <w:rPr>
          <w:lang w:val="en-US"/>
        </w:rPr>
        <w:t xml:space="preserve">., Kroll, J. H., DeCarlo, P. F., Allan, J. D., Coe, H., Ng, N. L., Aiken, A. C., Docherty, K. S., Ulbrich, I. M., </w:t>
      </w:r>
      <w:proofErr w:type="spellStart"/>
      <w:r w:rsidRPr="007F307A">
        <w:rPr>
          <w:lang w:val="en-US"/>
        </w:rPr>
        <w:t>Grieshop</w:t>
      </w:r>
      <w:proofErr w:type="spellEnd"/>
      <w:r w:rsidRPr="007F307A">
        <w:rPr>
          <w:lang w:val="en-US"/>
        </w:rPr>
        <w:t xml:space="preserve">, A. P., Robinson, A. L., </w:t>
      </w:r>
      <w:proofErr w:type="spellStart"/>
      <w:r w:rsidRPr="007F307A">
        <w:rPr>
          <w:lang w:val="en-US"/>
        </w:rPr>
        <w:t>Duplissy</w:t>
      </w:r>
      <w:proofErr w:type="spellEnd"/>
      <w:r w:rsidRPr="007F307A">
        <w:rPr>
          <w:lang w:val="en-US"/>
        </w:rPr>
        <w:t xml:space="preserve">, J., Smith, J. D., Wilson, K. R., </w:t>
      </w:r>
      <w:proofErr w:type="spellStart"/>
      <w:r w:rsidRPr="007F307A">
        <w:rPr>
          <w:lang w:val="en-US"/>
        </w:rPr>
        <w:t>Lanz</w:t>
      </w:r>
      <w:proofErr w:type="spellEnd"/>
      <w:r w:rsidRPr="007F307A">
        <w:rPr>
          <w:lang w:val="en-US"/>
        </w:rPr>
        <w:t xml:space="preserve">, V. A., </w:t>
      </w:r>
      <w:proofErr w:type="spellStart"/>
      <w:r w:rsidRPr="007F307A">
        <w:rPr>
          <w:lang w:val="en-US"/>
        </w:rPr>
        <w:t>Hueglin</w:t>
      </w:r>
      <w:proofErr w:type="spellEnd"/>
      <w:r w:rsidRPr="007F307A">
        <w:rPr>
          <w:lang w:val="en-US"/>
        </w:rPr>
        <w:t xml:space="preserve">, C., Sun, Y. L., Tian, J., Laaksonen, A., </w:t>
      </w:r>
      <w:proofErr w:type="spellStart"/>
      <w:r w:rsidRPr="007F307A">
        <w:rPr>
          <w:lang w:val="en-US"/>
        </w:rPr>
        <w:t>Raatikainen</w:t>
      </w:r>
      <w:proofErr w:type="spellEnd"/>
      <w:r w:rsidRPr="007F307A">
        <w:rPr>
          <w:lang w:val="en-US"/>
        </w:rPr>
        <w:t xml:space="preserve">, T., </w:t>
      </w:r>
      <w:proofErr w:type="spellStart"/>
      <w:r w:rsidRPr="007F307A">
        <w:rPr>
          <w:lang w:val="en-US"/>
        </w:rPr>
        <w:t>Rautiainen</w:t>
      </w:r>
      <w:proofErr w:type="spellEnd"/>
      <w:r w:rsidRPr="007F307A">
        <w:rPr>
          <w:lang w:val="en-US"/>
        </w:rPr>
        <w:t xml:space="preserve">, J., </w:t>
      </w:r>
      <w:proofErr w:type="spellStart"/>
      <w:r w:rsidRPr="007F307A">
        <w:rPr>
          <w:lang w:val="en-US"/>
        </w:rPr>
        <w:t>Vaattovaara</w:t>
      </w:r>
      <w:proofErr w:type="spellEnd"/>
      <w:r w:rsidRPr="007F307A">
        <w:rPr>
          <w:lang w:val="en-US"/>
        </w:rPr>
        <w:t xml:space="preserve">, P., </w:t>
      </w:r>
      <w:proofErr w:type="spellStart"/>
      <w:r w:rsidRPr="007F307A">
        <w:rPr>
          <w:lang w:val="en-US"/>
        </w:rPr>
        <w:t>Ehn</w:t>
      </w:r>
      <w:proofErr w:type="spellEnd"/>
      <w:r w:rsidRPr="007F307A">
        <w:rPr>
          <w:lang w:val="en-US"/>
        </w:rPr>
        <w:t xml:space="preserve">, M., </w:t>
      </w:r>
      <w:proofErr w:type="spellStart"/>
      <w:r w:rsidRPr="007F307A">
        <w:rPr>
          <w:lang w:val="en-US"/>
        </w:rPr>
        <w:t>Kulmala</w:t>
      </w:r>
      <w:proofErr w:type="spellEnd"/>
      <w:r w:rsidRPr="007F307A">
        <w:rPr>
          <w:lang w:val="en-US"/>
        </w:rPr>
        <w:t xml:space="preserve">, M., Tomlinson, J. M., Collins, D. R., </w:t>
      </w:r>
      <w:proofErr w:type="spellStart"/>
      <w:r w:rsidRPr="007F307A">
        <w:rPr>
          <w:lang w:val="en-US"/>
        </w:rPr>
        <w:t>Cubison</w:t>
      </w:r>
      <w:proofErr w:type="spellEnd"/>
      <w:r w:rsidRPr="007F307A">
        <w:rPr>
          <w:lang w:val="en-US"/>
        </w:rPr>
        <w:t xml:space="preserve">, M. J., </w:t>
      </w:r>
      <w:proofErr w:type="spellStart"/>
      <w:r w:rsidRPr="007F307A">
        <w:rPr>
          <w:lang w:val="en-US"/>
        </w:rPr>
        <w:t>Dunlea</w:t>
      </w:r>
      <w:proofErr w:type="spellEnd"/>
      <w:r w:rsidRPr="007F307A">
        <w:rPr>
          <w:lang w:val="en-US"/>
        </w:rPr>
        <w:t xml:space="preserve">, E. J., Huffman, J. A., </w:t>
      </w:r>
      <w:proofErr w:type="spellStart"/>
      <w:r w:rsidRPr="007F307A">
        <w:rPr>
          <w:lang w:val="en-US"/>
        </w:rPr>
        <w:t>Onasch</w:t>
      </w:r>
      <w:proofErr w:type="spellEnd"/>
      <w:r w:rsidRPr="007F307A">
        <w:rPr>
          <w:lang w:val="en-US"/>
        </w:rPr>
        <w:t xml:space="preserve">, T. S, </w:t>
      </w:r>
      <w:proofErr w:type="spellStart"/>
      <w:r w:rsidRPr="007F307A">
        <w:rPr>
          <w:lang w:val="en-US"/>
        </w:rPr>
        <w:t>Alfarra</w:t>
      </w:r>
      <w:proofErr w:type="spellEnd"/>
      <w:r w:rsidRPr="007F307A">
        <w:rPr>
          <w:lang w:val="en-US"/>
        </w:rPr>
        <w:t xml:space="preserve">, M. R., Williams, P. I., Bower, K., Kondo, Y., Schneider, J., </w:t>
      </w:r>
      <w:proofErr w:type="spellStart"/>
      <w:r w:rsidRPr="007F307A">
        <w:rPr>
          <w:lang w:val="en-US"/>
        </w:rPr>
        <w:t>Drewnick</w:t>
      </w:r>
      <w:proofErr w:type="spellEnd"/>
      <w:r w:rsidRPr="007F307A">
        <w:rPr>
          <w:lang w:val="en-US"/>
        </w:rPr>
        <w:t xml:space="preserve">, F., </w:t>
      </w:r>
      <w:proofErr w:type="spellStart"/>
      <w:r w:rsidRPr="007F307A">
        <w:rPr>
          <w:lang w:val="en-US"/>
        </w:rPr>
        <w:t>Borrmann</w:t>
      </w:r>
      <w:proofErr w:type="spellEnd"/>
      <w:r w:rsidRPr="007F307A">
        <w:rPr>
          <w:lang w:val="en-US"/>
        </w:rPr>
        <w:t xml:space="preserve">, S., Weimer, S., </w:t>
      </w:r>
      <w:proofErr w:type="spellStart"/>
      <w:r w:rsidRPr="007F307A">
        <w:rPr>
          <w:lang w:val="en-US"/>
        </w:rPr>
        <w:t>Demerjian</w:t>
      </w:r>
      <w:proofErr w:type="spellEnd"/>
      <w:r w:rsidRPr="007F307A">
        <w:rPr>
          <w:lang w:val="en-US"/>
        </w:rPr>
        <w:t xml:space="preserve">, K., Salcedo, D., Cottrell, L., Griffin, R., </w:t>
      </w:r>
      <w:proofErr w:type="spellStart"/>
      <w:r w:rsidRPr="007F307A">
        <w:rPr>
          <w:lang w:val="en-US"/>
        </w:rPr>
        <w:t>Takami</w:t>
      </w:r>
      <w:proofErr w:type="spellEnd"/>
      <w:r w:rsidRPr="007F307A">
        <w:rPr>
          <w:lang w:val="en-US"/>
        </w:rPr>
        <w:t xml:space="preserve">, A., Miyoshi, T., </w:t>
      </w:r>
      <w:proofErr w:type="spellStart"/>
      <w:r w:rsidRPr="007F307A">
        <w:rPr>
          <w:lang w:val="en-US"/>
        </w:rPr>
        <w:t>Hatakeyama</w:t>
      </w:r>
      <w:proofErr w:type="spellEnd"/>
      <w:r w:rsidRPr="007F307A">
        <w:rPr>
          <w:lang w:val="en-US"/>
        </w:rPr>
        <w:t xml:space="preserve">, S., </w:t>
      </w:r>
      <w:proofErr w:type="spellStart"/>
      <w:r w:rsidRPr="007F307A">
        <w:rPr>
          <w:lang w:val="en-US"/>
        </w:rPr>
        <w:t>Shimono</w:t>
      </w:r>
      <w:proofErr w:type="spellEnd"/>
      <w:r w:rsidRPr="007F307A">
        <w:rPr>
          <w:lang w:val="en-US"/>
        </w:rPr>
        <w:t xml:space="preserve">, A., Sun, J. Y., Zhang, Y. M., </w:t>
      </w:r>
      <w:proofErr w:type="spellStart"/>
      <w:r w:rsidRPr="007F307A">
        <w:rPr>
          <w:lang w:val="en-US"/>
        </w:rPr>
        <w:t>Dzepina</w:t>
      </w:r>
      <w:proofErr w:type="spellEnd"/>
      <w:r w:rsidRPr="007F307A">
        <w:rPr>
          <w:lang w:val="en-US"/>
        </w:rPr>
        <w:t xml:space="preserve">, K., Kimmel, J. R., </w:t>
      </w:r>
      <w:proofErr w:type="spellStart"/>
      <w:r w:rsidRPr="007F307A">
        <w:rPr>
          <w:lang w:val="en-US"/>
        </w:rPr>
        <w:t>Sueper</w:t>
      </w:r>
      <w:proofErr w:type="spellEnd"/>
      <w:r w:rsidRPr="007F307A">
        <w:rPr>
          <w:lang w:val="en-US"/>
        </w:rPr>
        <w:t xml:space="preserve">, D., Jayne, J. T., Herndon, S. C., </w:t>
      </w:r>
      <w:proofErr w:type="spellStart"/>
      <w:r w:rsidRPr="007F307A">
        <w:rPr>
          <w:lang w:val="en-US"/>
        </w:rPr>
        <w:t>Trimborn</w:t>
      </w:r>
      <w:proofErr w:type="spellEnd"/>
      <w:r w:rsidRPr="007F307A">
        <w:rPr>
          <w:lang w:val="en-US"/>
        </w:rPr>
        <w:t xml:space="preserve">, A. M., Williams, L. R., Wood, E. C., Middlebrook, A. M., Kolb, C. E., Baltensperger, U., and Worsnop, D. R.: Evolution of organic aerosols in the atmosphere, Science, 326, 1525–1529, </w:t>
      </w:r>
      <w:r w:rsidRPr="007F307A">
        <w:rPr>
          <w:lang w:val="en-US"/>
        </w:rPr>
        <w:br/>
        <w:t xml:space="preserve">URL </w:t>
      </w:r>
      <w:hyperlink r:id="rId134" w:history="1">
        <w:r w:rsidRPr="007F307A">
          <w:rPr>
            <w:rStyle w:val="Hyperlink"/>
            <w:lang w:val="en-US"/>
          </w:rPr>
          <w:t>https://science.sciencemag.org/content/326/5959/1525</w:t>
        </w:r>
      </w:hyperlink>
      <w:r w:rsidRPr="007F307A">
        <w:rPr>
          <w:lang w:val="en-US"/>
        </w:rPr>
        <w:t>, 2009.</w:t>
      </w:r>
    </w:p>
    <w:p w14:paraId="25AC4066" w14:textId="65C81C2A" w:rsidR="00D92235" w:rsidRPr="007F307A" w:rsidRDefault="00D92235" w:rsidP="007F307A">
      <w:pPr>
        <w:pStyle w:val="ListParagraph"/>
        <w:numPr>
          <w:ilvl w:val="0"/>
          <w:numId w:val="4"/>
        </w:numPr>
        <w:rPr>
          <w:lang w:val="en-US"/>
        </w:rPr>
      </w:pPr>
      <w:r w:rsidRPr="007F307A">
        <w:rPr>
          <w:lang w:val="en-US"/>
        </w:rPr>
        <w:t xml:space="preserve">Ng, N. L., Herndon, S. C., </w:t>
      </w:r>
      <w:proofErr w:type="spellStart"/>
      <w:r w:rsidRPr="007F307A">
        <w:rPr>
          <w:lang w:val="en-US"/>
        </w:rPr>
        <w:t>Trimborn</w:t>
      </w:r>
      <w:proofErr w:type="spellEnd"/>
      <w:r w:rsidRPr="007F307A">
        <w:rPr>
          <w:lang w:val="en-US"/>
        </w:rPr>
        <w:t xml:space="preserve">, A., Canagaratna, M. R., Croteau, P. L., </w:t>
      </w:r>
      <w:proofErr w:type="spellStart"/>
      <w:r w:rsidRPr="007F307A">
        <w:rPr>
          <w:lang w:val="en-US"/>
        </w:rPr>
        <w:t>Onasch</w:t>
      </w:r>
      <w:proofErr w:type="spellEnd"/>
      <w:r w:rsidRPr="007F307A">
        <w:rPr>
          <w:lang w:val="en-US"/>
        </w:rPr>
        <w:t xml:space="preserve">, T. S, </w:t>
      </w:r>
      <w:proofErr w:type="spellStart"/>
      <w:r w:rsidRPr="007F307A">
        <w:rPr>
          <w:lang w:val="en-US"/>
        </w:rPr>
        <w:t>Sueper</w:t>
      </w:r>
      <w:proofErr w:type="spellEnd"/>
      <w:r w:rsidRPr="007F307A">
        <w:rPr>
          <w:lang w:val="en-US"/>
        </w:rPr>
        <w:t xml:space="preserve">, D., Worsnop, D. R., Zhang, </w:t>
      </w:r>
      <w:r w:rsidR="003C0805" w:rsidRPr="003C0805">
        <w:rPr>
          <w:i/>
          <w:lang w:val="en-US"/>
        </w:rPr>
        <w:t>Q</w:t>
      </w:r>
      <w:r w:rsidRPr="007F307A">
        <w:rPr>
          <w:lang w:val="en-US"/>
        </w:rPr>
        <w:t xml:space="preserve">., Sun, Y. L., and Jayne, J. T.: An Aerosol Chemical Speciation Monitor (ACSM) for routine monitoring of the composition and mass concentrations of ambient aerosol, Aerosol Science and Technology, 45, 780–794,URL </w:t>
      </w:r>
      <w:hyperlink r:id="rId135" w:history="1">
        <w:r w:rsidRPr="007F307A">
          <w:rPr>
            <w:rStyle w:val="Hyperlink"/>
            <w:lang w:val="en-US"/>
          </w:rPr>
          <w:t>http://www.tandfonline.com/doi/abs/10.1080/02786826.2011.560211</w:t>
        </w:r>
      </w:hyperlink>
      <w:r w:rsidRPr="007F307A">
        <w:rPr>
          <w:lang w:val="en-US"/>
        </w:rPr>
        <w:t>, 2011.</w:t>
      </w:r>
    </w:p>
    <w:p w14:paraId="5C2F558E" w14:textId="4840680D" w:rsidR="00D92235" w:rsidRPr="007F307A" w:rsidRDefault="00D92235" w:rsidP="007F307A">
      <w:pPr>
        <w:pStyle w:val="ListParagraph"/>
        <w:numPr>
          <w:ilvl w:val="0"/>
          <w:numId w:val="4"/>
        </w:numPr>
        <w:rPr>
          <w:lang w:val="en-US"/>
        </w:rPr>
      </w:pPr>
      <w:r w:rsidRPr="007F307A">
        <w:rPr>
          <w:lang w:val="en-US"/>
        </w:rPr>
        <w:t xml:space="preserve">Norris, G., Duvall, R., Brown, S., and Bai, S.: EPA Positive Matrix Factorization 5.0 fundamentals and user guide, URL </w:t>
      </w:r>
      <w:hyperlink r:id="rId136" w:history="1">
        <w:r w:rsidRPr="007F307A">
          <w:rPr>
            <w:rStyle w:val="Hyperlink"/>
            <w:lang w:val="en-US"/>
          </w:rPr>
          <w:t>https://www.epa.gov/air-research/epa-positive-matrix-factorization-50-fundamentals-and-user-guide</w:t>
        </w:r>
      </w:hyperlink>
      <w:r w:rsidRPr="007F307A">
        <w:rPr>
          <w:lang w:val="en-US"/>
        </w:rPr>
        <w:t>, 2014.</w:t>
      </w:r>
    </w:p>
    <w:p w14:paraId="1EF213E3" w14:textId="4C4D839B" w:rsidR="00D92235" w:rsidRPr="007F307A" w:rsidRDefault="00D92235" w:rsidP="007F307A">
      <w:pPr>
        <w:pStyle w:val="ListParagraph"/>
        <w:numPr>
          <w:ilvl w:val="0"/>
          <w:numId w:val="4"/>
        </w:numPr>
        <w:rPr>
          <w:lang w:val="en-US"/>
        </w:rPr>
      </w:pPr>
      <w:r w:rsidRPr="007F307A">
        <w:rPr>
          <w:lang w:val="en-US"/>
        </w:rPr>
        <w:t xml:space="preserve">Olson, M. R., Garcia, M. V., Robinson, M. A., </w:t>
      </w:r>
      <w:proofErr w:type="spellStart"/>
      <w:r w:rsidRPr="007F307A">
        <w:rPr>
          <w:lang w:val="en-US"/>
        </w:rPr>
        <w:t>Rooy</w:t>
      </w:r>
      <w:proofErr w:type="spellEnd"/>
      <w:r w:rsidRPr="007F307A">
        <w:rPr>
          <w:lang w:val="en-US"/>
        </w:rPr>
        <w:t xml:space="preserve">, P. V., </w:t>
      </w:r>
      <w:proofErr w:type="spellStart"/>
      <w:r w:rsidRPr="007F307A">
        <w:rPr>
          <w:lang w:val="en-US"/>
        </w:rPr>
        <w:t>Dietenberger</w:t>
      </w:r>
      <w:proofErr w:type="spellEnd"/>
      <w:r w:rsidRPr="007F307A">
        <w:rPr>
          <w:lang w:val="en-US"/>
        </w:rPr>
        <w:t xml:space="preserve">, M. A., Bergin, M., and Schauer, J. J.: Investigation of black and brown carbon multiple-wavelength dependent light absorption from biomass and fossil fuel combustion source emissions, Journal of Geophysical Research, 120, 6682–6697, </w:t>
      </w:r>
      <w:r w:rsidRPr="007F307A">
        <w:rPr>
          <w:lang w:val="en-US"/>
        </w:rPr>
        <w:br/>
        <w:t xml:space="preserve">URL </w:t>
      </w:r>
      <w:hyperlink r:id="rId137" w:history="1">
        <w:r w:rsidRPr="007F307A">
          <w:rPr>
            <w:rStyle w:val="Hyperlink"/>
            <w:lang w:val="en-US"/>
          </w:rPr>
          <w:t>https://doi.org/10.1002/2014JD022970</w:t>
        </w:r>
      </w:hyperlink>
      <w:r w:rsidRPr="007F307A">
        <w:rPr>
          <w:lang w:val="en-US"/>
        </w:rPr>
        <w:t>, 2015.</w:t>
      </w:r>
    </w:p>
    <w:p w14:paraId="47F1A323" w14:textId="350E5348" w:rsidR="00D92235" w:rsidRPr="007F307A" w:rsidRDefault="00D92235" w:rsidP="00A7290A">
      <w:pPr>
        <w:pStyle w:val="ListParagraph"/>
        <w:numPr>
          <w:ilvl w:val="0"/>
          <w:numId w:val="4"/>
        </w:numPr>
        <w:jc w:val="left"/>
        <w:rPr>
          <w:lang w:val="en-US"/>
        </w:rPr>
      </w:pPr>
      <w:r w:rsidRPr="007F307A">
        <w:rPr>
          <w:lang w:val="en-US"/>
        </w:rPr>
        <w:t xml:space="preserve">Paatero, P. and </w:t>
      </w:r>
      <w:proofErr w:type="spellStart"/>
      <w:r w:rsidRPr="007F307A">
        <w:rPr>
          <w:lang w:val="en-US"/>
        </w:rPr>
        <w:t>Hopke</w:t>
      </w:r>
      <w:proofErr w:type="spellEnd"/>
      <w:r w:rsidRPr="007F307A">
        <w:rPr>
          <w:lang w:val="en-US"/>
        </w:rPr>
        <w:t xml:space="preserve">, P. K.: Discarding or </w:t>
      </w:r>
      <w:proofErr w:type="spellStart"/>
      <w:r w:rsidRPr="007F307A">
        <w:rPr>
          <w:lang w:val="en-US"/>
        </w:rPr>
        <w:t>downweighting</w:t>
      </w:r>
      <w:proofErr w:type="spellEnd"/>
      <w:r w:rsidRPr="007F307A">
        <w:rPr>
          <w:lang w:val="en-US"/>
        </w:rPr>
        <w:t xml:space="preserve"> high-noise variables in factor analytic models, Analytica </w:t>
      </w:r>
      <w:proofErr w:type="spellStart"/>
      <w:r w:rsidRPr="007F307A">
        <w:rPr>
          <w:lang w:val="en-US"/>
        </w:rPr>
        <w:t>Chimica</w:t>
      </w:r>
      <w:proofErr w:type="spellEnd"/>
      <w:r w:rsidRPr="007F307A">
        <w:rPr>
          <w:lang w:val="en-US"/>
        </w:rPr>
        <w:t xml:space="preserve"> Acta, 490, 277–289, URL </w:t>
      </w:r>
      <w:hyperlink r:id="rId138" w:history="1">
        <w:r w:rsidRPr="007F307A">
          <w:rPr>
            <w:rStyle w:val="Hyperlink"/>
            <w:lang w:val="en-US"/>
          </w:rPr>
          <w:t>https://doi.org/10.1016/S0003-2670(02)01643-4</w:t>
        </w:r>
      </w:hyperlink>
      <w:r w:rsidRPr="007F307A">
        <w:rPr>
          <w:lang w:val="en-US"/>
        </w:rPr>
        <w:t>, 2003.</w:t>
      </w:r>
    </w:p>
    <w:p w14:paraId="1C0C4DFC" w14:textId="1D1345A8" w:rsidR="00D92235" w:rsidRPr="007F307A" w:rsidRDefault="00D92235" w:rsidP="007F307A">
      <w:pPr>
        <w:pStyle w:val="ListParagraph"/>
        <w:numPr>
          <w:ilvl w:val="0"/>
          <w:numId w:val="4"/>
        </w:numPr>
        <w:rPr>
          <w:lang w:val="en-US"/>
        </w:rPr>
      </w:pPr>
      <w:r w:rsidRPr="007F307A">
        <w:rPr>
          <w:lang w:val="en-US"/>
        </w:rPr>
        <w:t xml:space="preserve">Paatero, P. and </w:t>
      </w:r>
      <w:proofErr w:type="spellStart"/>
      <w:r w:rsidRPr="007F307A">
        <w:rPr>
          <w:lang w:val="en-US"/>
        </w:rPr>
        <w:t>Hopke</w:t>
      </w:r>
      <w:proofErr w:type="spellEnd"/>
      <w:r w:rsidRPr="007F307A">
        <w:rPr>
          <w:lang w:val="en-US"/>
        </w:rPr>
        <w:t xml:space="preserve">, P. K.: Rotational tools for factor analytic models, Journal of Chemometrics, 23, 91–100, URL </w:t>
      </w:r>
      <w:hyperlink r:id="rId139" w:history="1">
        <w:r w:rsidRPr="007F307A">
          <w:rPr>
            <w:rStyle w:val="Hyperlink"/>
            <w:lang w:val="en-US"/>
          </w:rPr>
          <w:t>http://doi.wiley.com/10.1002/cem.1197</w:t>
        </w:r>
      </w:hyperlink>
      <w:r w:rsidRPr="007F307A">
        <w:rPr>
          <w:lang w:val="en-US"/>
        </w:rPr>
        <w:t>, 2009.</w:t>
      </w:r>
    </w:p>
    <w:p w14:paraId="1F186EFA" w14:textId="18A5DC27" w:rsidR="00D92235" w:rsidRPr="007F307A" w:rsidRDefault="00D92235" w:rsidP="007F307A">
      <w:pPr>
        <w:pStyle w:val="ListParagraph"/>
        <w:numPr>
          <w:ilvl w:val="0"/>
          <w:numId w:val="4"/>
        </w:numPr>
        <w:rPr>
          <w:lang w:val="en-US"/>
        </w:rPr>
      </w:pPr>
      <w:r w:rsidRPr="007F307A">
        <w:rPr>
          <w:lang w:val="en-US"/>
        </w:rPr>
        <w:t xml:space="preserve">Paatero, P., Eberly, S., Brown, S. G., and Norris, G. A.: Methods for estimating uncertainty in factor analytic solutions, Atmospheric Measurement Techniques, 7, 781–797, URL </w:t>
      </w:r>
      <w:hyperlink r:id="rId140" w:history="1">
        <w:r w:rsidRPr="007F307A">
          <w:rPr>
            <w:rStyle w:val="Hyperlink"/>
            <w:lang w:val="en-US"/>
          </w:rPr>
          <w:t>https://amt.copernicus.org/articles/7/781/2014/</w:t>
        </w:r>
      </w:hyperlink>
      <w:r w:rsidRPr="007F307A">
        <w:rPr>
          <w:lang w:val="en-US"/>
        </w:rPr>
        <w:t>, 2014.</w:t>
      </w:r>
    </w:p>
    <w:p w14:paraId="076629AA" w14:textId="0C6AD547" w:rsidR="00D92235" w:rsidRPr="007F307A" w:rsidRDefault="00D92235" w:rsidP="00F2214C">
      <w:pPr>
        <w:pStyle w:val="ListParagraph"/>
        <w:numPr>
          <w:ilvl w:val="0"/>
          <w:numId w:val="4"/>
        </w:numPr>
        <w:jc w:val="left"/>
        <w:rPr>
          <w:lang w:val="en-US"/>
        </w:rPr>
      </w:pPr>
      <w:proofErr w:type="spellStart"/>
      <w:r w:rsidRPr="007F307A">
        <w:rPr>
          <w:lang w:val="en-US"/>
        </w:rPr>
        <w:t>Politis</w:t>
      </w:r>
      <w:proofErr w:type="spellEnd"/>
      <w:r w:rsidRPr="007F307A">
        <w:rPr>
          <w:lang w:val="en-US"/>
        </w:rPr>
        <w:t xml:space="preserve">, D. N. and White, H.: Automatic block-length selection for the dependent bootstrap, Econometric Reviews, 23, 53–70, URL </w:t>
      </w:r>
      <w:hyperlink r:id="rId141" w:history="1">
        <w:r w:rsidRPr="007F307A">
          <w:rPr>
            <w:rStyle w:val="Hyperlink"/>
            <w:lang w:val="en-US"/>
          </w:rPr>
          <w:t>https://www.tandfonline.com/doi/abs/10.1081/ETC-120028836</w:t>
        </w:r>
      </w:hyperlink>
      <w:r w:rsidRPr="007F307A">
        <w:rPr>
          <w:lang w:val="en-US"/>
        </w:rPr>
        <w:t>, 2004.</w:t>
      </w:r>
    </w:p>
    <w:p w14:paraId="7559251D" w14:textId="2A75976F" w:rsidR="00D92235" w:rsidRPr="007F307A" w:rsidRDefault="00D92235" w:rsidP="007F307A">
      <w:pPr>
        <w:pStyle w:val="ListParagraph"/>
        <w:numPr>
          <w:ilvl w:val="0"/>
          <w:numId w:val="4"/>
        </w:numPr>
        <w:rPr>
          <w:lang w:val="en-US"/>
        </w:rPr>
      </w:pPr>
      <w:r w:rsidRPr="007F307A">
        <w:rPr>
          <w:lang w:val="en-US"/>
        </w:rPr>
        <w:t xml:space="preserve">Patton, A., </w:t>
      </w:r>
      <w:proofErr w:type="spellStart"/>
      <w:r w:rsidRPr="007F307A">
        <w:rPr>
          <w:lang w:val="en-US"/>
        </w:rPr>
        <w:t>Politis</w:t>
      </w:r>
      <w:proofErr w:type="spellEnd"/>
      <w:r w:rsidRPr="007F307A">
        <w:rPr>
          <w:lang w:val="en-US"/>
        </w:rPr>
        <w:t xml:space="preserve">, D. N., and White, H.: Correction to automatic block-length selection for the dependent bootstrap by D. </w:t>
      </w:r>
      <w:proofErr w:type="spellStart"/>
      <w:r w:rsidRPr="007F307A">
        <w:rPr>
          <w:lang w:val="en-US"/>
        </w:rPr>
        <w:t>Politis</w:t>
      </w:r>
      <w:proofErr w:type="spellEnd"/>
      <w:r w:rsidRPr="007F307A">
        <w:rPr>
          <w:lang w:val="en-US"/>
        </w:rPr>
        <w:t xml:space="preserve"> and H. White, Econometric Reviews, 28, 372–375, URL </w:t>
      </w:r>
      <w:hyperlink r:id="rId142" w:history="1">
        <w:r w:rsidRPr="007F307A">
          <w:rPr>
            <w:rStyle w:val="Hyperlink"/>
            <w:lang w:val="en-US"/>
          </w:rPr>
          <w:t>https://doi.org/10.1080/07474930802459016</w:t>
        </w:r>
      </w:hyperlink>
      <w:r w:rsidRPr="007F307A">
        <w:rPr>
          <w:lang w:val="en-US"/>
        </w:rPr>
        <w:t>, 2009.</w:t>
      </w:r>
    </w:p>
    <w:p w14:paraId="77F1B8E0" w14:textId="32A94010" w:rsidR="00D92235" w:rsidRPr="007F307A" w:rsidRDefault="00D92235" w:rsidP="007F307A">
      <w:pPr>
        <w:pStyle w:val="ListParagraph"/>
        <w:numPr>
          <w:ilvl w:val="0"/>
          <w:numId w:val="4"/>
        </w:numPr>
        <w:rPr>
          <w:lang w:val="en-US"/>
        </w:rPr>
      </w:pPr>
      <w:r w:rsidRPr="007F307A">
        <w:rPr>
          <w:lang w:val="en-US"/>
        </w:rPr>
        <w:t xml:space="preserve">R Core Team: R: a language and environment for statistical computing, R Foundation for Statistical Computing, Vienna, Austria, URL </w:t>
      </w:r>
      <w:hyperlink r:id="rId143" w:history="1">
        <w:r w:rsidRPr="007F307A">
          <w:rPr>
            <w:rStyle w:val="Hyperlink"/>
            <w:lang w:val="en-US"/>
          </w:rPr>
          <w:t>https://www.R-project.org/</w:t>
        </w:r>
      </w:hyperlink>
      <w:r w:rsidRPr="007F307A">
        <w:rPr>
          <w:lang w:val="en-US"/>
        </w:rPr>
        <w:t>, 2019.</w:t>
      </w:r>
    </w:p>
    <w:p w14:paraId="0F4E6695" w14:textId="38B741D6" w:rsidR="00D92235" w:rsidRPr="007F307A" w:rsidRDefault="00D92235" w:rsidP="007F307A">
      <w:pPr>
        <w:pStyle w:val="ListParagraph"/>
        <w:numPr>
          <w:ilvl w:val="0"/>
          <w:numId w:val="4"/>
        </w:numPr>
        <w:rPr>
          <w:lang w:val="en-US"/>
        </w:rPr>
      </w:pPr>
      <w:proofErr w:type="spellStart"/>
      <w:r w:rsidRPr="007F307A">
        <w:rPr>
          <w:lang w:val="en-US"/>
        </w:rPr>
        <w:t>Sandradewi</w:t>
      </w:r>
      <w:proofErr w:type="spellEnd"/>
      <w:r w:rsidRPr="007F307A">
        <w:rPr>
          <w:lang w:val="en-US"/>
        </w:rPr>
        <w:t xml:space="preserve">, J., Prévôt, A. S., </w:t>
      </w:r>
      <w:proofErr w:type="spellStart"/>
      <w:r w:rsidRPr="007F307A">
        <w:rPr>
          <w:lang w:val="en-US"/>
        </w:rPr>
        <w:t>Szidat</w:t>
      </w:r>
      <w:proofErr w:type="spellEnd"/>
      <w:r w:rsidRPr="007F307A">
        <w:rPr>
          <w:lang w:val="en-US"/>
        </w:rPr>
        <w:t xml:space="preserve">, S., </w:t>
      </w:r>
      <w:proofErr w:type="spellStart"/>
      <w:r w:rsidRPr="007F307A">
        <w:rPr>
          <w:lang w:val="en-US"/>
        </w:rPr>
        <w:t>Perron</w:t>
      </w:r>
      <w:proofErr w:type="spellEnd"/>
      <w:r w:rsidRPr="007F307A">
        <w:rPr>
          <w:lang w:val="en-US"/>
        </w:rPr>
        <w:t xml:space="preserve">, N., </w:t>
      </w:r>
      <w:proofErr w:type="spellStart"/>
      <w:r w:rsidRPr="007F307A">
        <w:rPr>
          <w:lang w:val="en-US"/>
        </w:rPr>
        <w:t>Alfarra</w:t>
      </w:r>
      <w:proofErr w:type="spellEnd"/>
      <w:r w:rsidRPr="007F307A">
        <w:rPr>
          <w:lang w:val="en-US"/>
        </w:rPr>
        <w:t xml:space="preserve">, M. R., </w:t>
      </w:r>
      <w:proofErr w:type="spellStart"/>
      <w:r w:rsidRPr="007F307A">
        <w:rPr>
          <w:lang w:val="en-US"/>
        </w:rPr>
        <w:t>Lanz</w:t>
      </w:r>
      <w:proofErr w:type="spellEnd"/>
      <w:r w:rsidRPr="007F307A">
        <w:rPr>
          <w:lang w:val="en-US"/>
        </w:rPr>
        <w:t xml:space="preserve">, V. A., </w:t>
      </w:r>
      <w:proofErr w:type="spellStart"/>
      <w:r w:rsidRPr="007F307A">
        <w:rPr>
          <w:lang w:val="en-US"/>
        </w:rPr>
        <w:t>Weingartner</w:t>
      </w:r>
      <w:proofErr w:type="spellEnd"/>
      <w:r w:rsidRPr="007F307A">
        <w:rPr>
          <w:lang w:val="en-US"/>
        </w:rPr>
        <w:t xml:space="preserve">, E., and Baltensperger, U. R.: Using aerosol light </w:t>
      </w:r>
      <w:proofErr w:type="spellStart"/>
      <w:r w:rsidRPr="007F307A">
        <w:rPr>
          <w:lang w:val="en-US"/>
        </w:rPr>
        <w:t>abosrption</w:t>
      </w:r>
      <w:proofErr w:type="spellEnd"/>
      <w:r w:rsidRPr="007F307A">
        <w:rPr>
          <w:lang w:val="en-US"/>
        </w:rPr>
        <w:t xml:space="preserve"> measurements for the quantitative determination of wood burning and traffic emission contribution to particulate matter, Environmental Science and Technology, 42, 3316–3323, </w:t>
      </w:r>
      <w:r w:rsidRPr="007F307A">
        <w:rPr>
          <w:lang w:val="en-US"/>
        </w:rPr>
        <w:br/>
        <w:t xml:space="preserve">URL </w:t>
      </w:r>
      <w:hyperlink r:id="rId144" w:history="1">
        <w:r w:rsidRPr="007F307A">
          <w:rPr>
            <w:rStyle w:val="Hyperlink"/>
            <w:lang w:val="en-US"/>
          </w:rPr>
          <w:t>https://doi.org/10.1021/es702253m</w:t>
        </w:r>
      </w:hyperlink>
      <w:r w:rsidRPr="007F307A">
        <w:rPr>
          <w:lang w:val="en-US"/>
        </w:rPr>
        <w:t>, 2008.</w:t>
      </w:r>
    </w:p>
    <w:p w14:paraId="4DC229AF" w14:textId="396D01C8" w:rsidR="00D92235" w:rsidRPr="007F307A" w:rsidRDefault="00D92235" w:rsidP="007F307A">
      <w:pPr>
        <w:pStyle w:val="ListParagraph"/>
        <w:numPr>
          <w:ilvl w:val="0"/>
          <w:numId w:val="4"/>
        </w:numPr>
        <w:rPr>
          <w:lang w:val="en-US"/>
        </w:rPr>
      </w:pPr>
      <w:proofErr w:type="spellStart"/>
      <w:r w:rsidRPr="007F307A">
        <w:rPr>
          <w:lang w:val="en-US"/>
        </w:rPr>
        <w:t>Schlag</w:t>
      </w:r>
      <w:proofErr w:type="spellEnd"/>
      <w:r w:rsidRPr="007F307A">
        <w:rPr>
          <w:lang w:val="en-US"/>
        </w:rPr>
        <w:t xml:space="preserve">, P., </w:t>
      </w:r>
      <w:proofErr w:type="spellStart"/>
      <w:r w:rsidRPr="007F307A">
        <w:rPr>
          <w:lang w:val="en-US"/>
        </w:rPr>
        <w:t>Kiendler-Scharr</w:t>
      </w:r>
      <w:proofErr w:type="spellEnd"/>
      <w:r w:rsidRPr="007F307A">
        <w:rPr>
          <w:lang w:val="en-US"/>
        </w:rPr>
        <w:t xml:space="preserve">, A., </w:t>
      </w:r>
      <w:proofErr w:type="spellStart"/>
      <w:r w:rsidRPr="007F307A">
        <w:rPr>
          <w:lang w:val="en-US"/>
        </w:rPr>
        <w:t>Blom</w:t>
      </w:r>
      <w:proofErr w:type="spellEnd"/>
      <w:r w:rsidRPr="007F307A">
        <w:rPr>
          <w:lang w:val="en-US"/>
        </w:rPr>
        <w:t xml:space="preserve">, M. J., Canonaco, F., </w:t>
      </w:r>
      <w:proofErr w:type="spellStart"/>
      <w:r w:rsidRPr="007F307A">
        <w:rPr>
          <w:lang w:val="en-US"/>
        </w:rPr>
        <w:t>Henzing</w:t>
      </w:r>
      <w:proofErr w:type="spellEnd"/>
      <w:r w:rsidRPr="007F307A">
        <w:rPr>
          <w:lang w:val="en-US"/>
        </w:rPr>
        <w:t xml:space="preserve">, J. S., </w:t>
      </w:r>
      <w:proofErr w:type="spellStart"/>
      <w:r w:rsidRPr="007F307A">
        <w:rPr>
          <w:lang w:val="en-US"/>
        </w:rPr>
        <w:t>Moerman</w:t>
      </w:r>
      <w:proofErr w:type="spellEnd"/>
      <w:r w:rsidRPr="007F307A">
        <w:rPr>
          <w:lang w:val="en-US"/>
        </w:rPr>
        <w:t xml:space="preserve">, M., Prévôt, A. S. H., and </w:t>
      </w:r>
      <w:proofErr w:type="spellStart"/>
      <w:r w:rsidRPr="007F307A">
        <w:rPr>
          <w:lang w:val="en-US"/>
        </w:rPr>
        <w:t>Holzinger</w:t>
      </w:r>
      <w:proofErr w:type="spellEnd"/>
      <w:r w:rsidRPr="007F307A">
        <w:rPr>
          <w:lang w:val="en-US"/>
        </w:rPr>
        <w:t xml:space="preserve">, R.: Aerosol source apportionment from 1-year measurements at the CESAR tower in </w:t>
      </w:r>
      <w:proofErr w:type="spellStart"/>
      <w:r w:rsidRPr="007F307A">
        <w:rPr>
          <w:lang w:val="en-US"/>
        </w:rPr>
        <w:t>Cabauw</w:t>
      </w:r>
      <w:proofErr w:type="spellEnd"/>
      <w:r w:rsidRPr="007F307A">
        <w:rPr>
          <w:lang w:val="en-US"/>
        </w:rPr>
        <w:t xml:space="preserve">, the Netherlands, Atmospheric Chemistry and Physics, 16, 8831–8847, </w:t>
      </w:r>
      <w:r w:rsidRPr="007F307A">
        <w:rPr>
          <w:lang w:val="en-US"/>
        </w:rPr>
        <w:br/>
        <w:t xml:space="preserve">URL </w:t>
      </w:r>
      <w:hyperlink r:id="rId145" w:history="1">
        <w:r w:rsidRPr="007F307A">
          <w:rPr>
            <w:rStyle w:val="Hyperlink"/>
            <w:lang w:val="en-US"/>
          </w:rPr>
          <w:t>https://acp.copernicus.org/articles/16/8831/2016/</w:t>
        </w:r>
      </w:hyperlink>
      <w:r w:rsidRPr="007F307A">
        <w:rPr>
          <w:lang w:val="en-US"/>
        </w:rPr>
        <w:t>, 2016.</w:t>
      </w:r>
    </w:p>
    <w:p w14:paraId="2CC60A53" w14:textId="0A1F1EC5" w:rsidR="00D92235" w:rsidRPr="007F307A" w:rsidRDefault="00D92235" w:rsidP="007F307A">
      <w:pPr>
        <w:pStyle w:val="ListParagraph"/>
        <w:numPr>
          <w:ilvl w:val="0"/>
          <w:numId w:val="4"/>
        </w:numPr>
        <w:rPr>
          <w:lang w:val="en-US"/>
        </w:rPr>
      </w:pPr>
      <w:r w:rsidRPr="007F307A">
        <w:rPr>
          <w:lang w:val="en-US"/>
        </w:rPr>
        <w:t xml:space="preserve">Tian, J., Wang, </w:t>
      </w:r>
      <w:r w:rsidR="003C0805" w:rsidRPr="003C0805">
        <w:rPr>
          <w:i/>
          <w:lang w:val="en-US"/>
        </w:rPr>
        <w:t>Q</w:t>
      </w:r>
      <w:r w:rsidRPr="007F307A">
        <w:rPr>
          <w:lang w:val="en-US"/>
        </w:rPr>
        <w:t xml:space="preserve">., Ni, H., Wang, M., Zhou, Y., Han, Y., Shen, Z., </w:t>
      </w:r>
      <w:proofErr w:type="spellStart"/>
      <w:r w:rsidRPr="007F307A">
        <w:rPr>
          <w:lang w:val="en-US"/>
        </w:rPr>
        <w:t>Pongpiachan</w:t>
      </w:r>
      <w:proofErr w:type="spellEnd"/>
      <w:r w:rsidRPr="007F307A">
        <w:rPr>
          <w:lang w:val="en-US"/>
        </w:rPr>
        <w:t xml:space="preserve">, S., Zhang, N., Zhao, Z., Zhang, </w:t>
      </w:r>
      <w:r w:rsidR="003C0805" w:rsidRPr="003C0805">
        <w:rPr>
          <w:i/>
          <w:lang w:val="en-US"/>
        </w:rPr>
        <w:t>Q</w:t>
      </w:r>
      <w:r w:rsidRPr="007F307A">
        <w:rPr>
          <w:lang w:val="en-US"/>
        </w:rPr>
        <w:t xml:space="preserve">., Zhang, Y., Long, X., and Cao, J.: Emission characteristics of primary brown carbon absorption from biomass and coal burning: development of an optical emission inventory for China, Journal of Geophysical Research: Atmospheres, 124, URL </w:t>
      </w:r>
      <w:hyperlink r:id="rId146" w:history="1">
        <w:r w:rsidRPr="007F307A">
          <w:rPr>
            <w:rStyle w:val="Hyperlink"/>
            <w:lang w:val="en-US"/>
          </w:rPr>
          <w:t>https://onlinelibrary.wiley.com/doi/abs/10.1029/2018JD029352</w:t>
        </w:r>
      </w:hyperlink>
      <w:r w:rsidRPr="007F307A">
        <w:rPr>
          <w:lang w:val="en-US"/>
        </w:rPr>
        <w:t>, 2019.</w:t>
      </w:r>
    </w:p>
    <w:p w14:paraId="4486CD45" w14:textId="61C8F29E" w:rsidR="00D92235" w:rsidRPr="007F307A" w:rsidRDefault="00D92235" w:rsidP="007F307A">
      <w:pPr>
        <w:pStyle w:val="ListParagraph"/>
        <w:numPr>
          <w:ilvl w:val="0"/>
          <w:numId w:val="4"/>
        </w:numPr>
        <w:rPr>
          <w:lang w:val="en-US"/>
        </w:rPr>
      </w:pPr>
      <w:r w:rsidRPr="007F307A">
        <w:rPr>
          <w:lang w:val="en-US"/>
        </w:rPr>
        <w:t>Tobler, A., Bhattu, D., Canonaco, F., Lalchandani, V., Shukla, A., Thamban, N. M., Mishra, S., Srivastava, A. K., Bisht, D. S., Tiwari, S., Singh, S., Mocnik, G., Baltensperger, U., Tripathi, S. N., Slowik, J. G., and Prévôt, A. S.: Chemical characterization of PM</w:t>
      </w:r>
      <w:r w:rsidRPr="007F307A">
        <w:rPr>
          <w:vertAlign w:val="subscript"/>
          <w:lang w:val="en-US"/>
        </w:rPr>
        <w:t>2.5</w:t>
      </w:r>
      <w:r w:rsidRPr="007F307A">
        <w:rPr>
          <w:lang w:val="en-US"/>
        </w:rPr>
        <w:t xml:space="preserve"> and source apportionment of organic aerosol in New Delhi, India, Science of the Total Environment, 745, URL </w:t>
      </w:r>
      <w:hyperlink r:id="rId147" w:history="1">
        <w:r w:rsidRPr="007F307A">
          <w:rPr>
            <w:rStyle w:val="Hyperlink"/>
            <w:lang w:val="en-US"/>
          </w:rPr>
          <w:t>https://doi.org/10.1016/j.scitotenv.2020.140924</w:t>
        </w:r>
      </w:hyperlink>
      <w:r w:rsidRPr="007F307A">
        <w:rPr>
          <w:lang w:val="en-US"/>
        </w:rPr>
        <w:t>, 2020.</w:t>
      </w:r>
    </w:p>
    <w:p w14:paraId="027DB5F9" w14:textId="0BCBB688" w:rsidR="00D92235" w:rsidRPr="007F307A" w:rsidRDefault="00D92235" w:rsidP="007F307A">
      <w:pPr>
        <w:pStyle w:val="ListParagraph"/>
        <w:numPr>
          <w:ilvl w:val="0"/>
          <w:numId w:val="4"/>
        </w:numPr>
        <w:rPr>
          <w:lang w:val="en-US"/>
        </w:rPr>
      </w:pPr>
      <w:r w:rsidRPr="007F307A">
        <w:rPr>
          <w:lang w:val="en-US"/>
        </w:rPr>
        <w:t xml:space="preserve">Ulbrich, I. M., Canagaratna, M. R., Zhang, </w:t>
      </w:r>
      <w:r w:rsidR="003C0805" w:rsidRPr="003C0805">
        <w:rPr>
          <w:i/>
          <w:lang w:val="en-US"/>
        </w:rPr>
        <w:t>Q</w:t>
      </w:r>
      <w:r w:rsidRPr="007F307A">
        <w:rPr>
          <w:lang w:val="en-US"/>
        </w:rPr>
        <w:t xml:space="preserve">., Worsnop, D. R., and Jimenez, J. L.: Interpretation of organic components from positive matrix factorization of aerosol mass spectrometric data, Atmos. Chem. Phys., 9, 2891–2918, URL </w:t>
      </w:r>
      <w:hyperlink r:id="rId148" w:history="1">
        <w:r w:rsidRPr="007F307A">
          <w:rPr>
            <w:rStyle w:val="Hyperlink"/>
            <w:lang w:val="en-US"/>
          </w:rPr>
          <w:t>https://doi.org/10.5194/acp-9-2891-2009</w:t>
        </w:r>
      </w:hyperlink>
      <w:r w:rsidRPr="007F307A">
        <w:rPr>
          <w:lang w:val="en-US"/>
        </w:rPr>
        <w:t xml:space="preserve">, 2009. </w:t>
      </w:r>
    </w:p>
    <w:p w14:paraId="2BBAC622" w14:textId="22EA4554" w:rsidR="00D92235" w:rsidRPr="007F307A" w:rsidRDefault="00D92235" w:rsidP="007F307A">
      <w:pPr>
        <w:pStyle w:val="ListParagraph"/>
        <w:numPr>
          <w:ilvl w:val="0"/>
          <w:numId w:val="4"/>
        </w:numPr>
        <w:rPr>
          <w:lang w:val="en-US"/>
        </w:rPr>
      </w:pPr>
      <w:r w:rsidRPr="007F307A">
        <w:rPr>
          <w:lang w:val="en-US"/>
        </w:rPr>
        <w:t xml:space="preserve">Ulbrich, I. M., </w:t>
      </w:r>
      <w:proofErr w:type="spellStart"/>
      <w:r w:rsidRPr="007F307A">
        <w:rPr>
          <w:lang w:val="en-US"/>
        </w:rPr>
        <w:t>Handschy</w:t>
      </w:r>
      <w:proofErr w:type="spellEnd"/>
      <w:r w:rsidRPr="007F307A">
        <w:rPr>
          <w:lang w:val="en-US"/>
        </w:rPr>
        <w:t xml:space="preserve">, A., Lechner, M., and Jimenez, J.: AMS Spectral Database, URL </w:t>
      </w:r>
      <w:hyperlink r:id="rId149" w:history="1">
        <w:r w:rsidRPr="007F307A">
          <w:rPr>
            <w:rStyle w:val="Hyperlink"/>
            <w:lang w:val="en-US"/>
          </w:rPr>
          <w:t>http://cires.colorado.edu/jimenez-group/AMSsd/</w:t>
        </w:r>
      </w:hyperlink>
      <w:r w:rsidRPr="007F307A">
        <w:rPr>
          <w:lang w:val="en-US"/>
        </w:rPr>
        <w:t xml:space="preserve"> (last access: 25 April 2019), 2017. </w:t>
      </w:r>
    </w:p>
    <w:p w14:paraId="374FD46E" w14:textId="3BAFF150" w:rsidR="00D92235" w:rsidRPr="007F307A" w:rsidRDefault="00D92235" w:rsidP="007F307A">
      <w:pPr>
        <w:pStyle w:val="ListParagraph"/>
        <w:numPr>
          <w:ilvl w:val="0"/>
          <w:numId w:val="4"/>
        </w:numPr>
        <w:rPr>
          <w:lang w:val="en-US"/>
        </w:rPr>
      </w:pPr>
      <w:r w:rsidRPr="007F307A">
        <w:rPr>
          <w:lang w:val="en-US"/>
        </w:rPr>
        <w:t xml:space="preserve">Ulbrich, I. M., </w:t>
      </w:r>
      <w:proofErr w:type="spellStart"/>
      <w:r w:rsidRPr="007F307A">
        <w:rPr>
          <w:lang w:val="en-US"/>
        </w:rPr>
        <w:t>Handschy</w:t>
      </w:r>
      <w:proofErr w:type="spellEnd"/>
      <w:r w:rsidRPr="007F307A">
        <w:rPr>
          <w:lang w:val="en-US"/>
        </w:rPr>
        <w:t xml:space="preserve">, A., Lechner, M., and Jimenez, J.: High-Resolution AMS Spectral Database, URL </w:t>
      </w:r>
      <w:hyperlink r:id="rId150" w:history="1">
        <w:r w:rsidRPr="007F307A">
          <w:rPr>
            <w:rStyle w:val="Hyperlink"/>
            <w:lang w:val="en-US"/>
          </w:rPr>
          <w:t>http://cires.colorado.edu/jimenez-group/HRAMSsd/</w:t>
        </w:r>
      </w:hyperlink>
      <w:r w:rsidRPr="007F307A">
        <w:rPr>
          <w:lang w:val="en-US"/>
        </w:rPr>
        <w:t xml:space="preserve"> (last access: 25 April 2019), 2018. </w:t>
      </w:r>
    </w:p>
    <w:p w14:paraId="0C9554C9" w14:textId="287A3F1C" w:rsidR="00D92235" w:rsidRPr="007F307A" w:rsidRDefault="00D92235" w:rsidP="007F307A">
      <w:pPr>
        <w:pStyle w:val="ListParagraph"/>
        <w:numPr>
          <w:ilvl w:val="0"/>
          <w:numId w:val="4"/>
        </w:numPr>
        <w:rPr>
          <w:lang w:val="en-US"/>
        </w:rPr>
      </w:pPr>
      <w:r w:rsidRPr="007F307A">
        <w:rPr>
          <w:lang w:val="en-US"/>
        </w:rPr>
        <w:t xml:space="preserve">Venables, W. N. and Ripley, S D.: Modern applied statistics with S, Springer, New York, fourth </w:t>
      </w:r>
      <w:proofErr w:type="spellStart"/>
      <w:r w:rsidRPr="007F307A">
        <w:rPr>
          <w:lang w:val="en-US"/>
        </w:rPr>
        <w:t>edn</w:t>
      </w:r>
      <w:proofErr w:type="spellEnd"/>
      <w:r w:rsidRPr="007F307A">
        <w:rPr>
          <w:lang w:val="en-US"/>
        </w:rPr>
        <w:t xml:space="preserve">., URL </w:t>
      </w:r>
      <w:hyperlink r:id="rId151" w:history="1">
        <w:r w:rsidRPr="007F307A">
          <w:rPr>
            <w:rStyle w:val="Hyperlink"/>
            <w:lang w:val="en-US"/>
          </w:rPr>
          <w:t>http://www.stats.ox.ac.uk/pub/MASS4</w:t>
        </w:r>
      </w:hyperlink>
      <w:r w:rsidRPr="007F307A">
        <w:rPr>
          <w:lang w:val="en-US"/>
        </w:rPr>
        <w:t>, 2002.</w:t>
      </w:r>
    </w:p>
    <w:p w14:paraId="57E247CF" w14:textId="293EF3CD" w:rsidR="00D92235" w:rsidRPr="007F307A" w:rsidRDefault="00D92235" w:rsidP="007F307A">
      <w:pPr>
        <w:pStyle w:val="ListParagraph"/>
        <w:numPr>
          <w:ilvl w:val="0"/>
          <w:numId w:val="4"/>
        </w:numPr>
        <w:rPr>
          <w:lang w:val="en-US"/>
        </w:rPr>
      </w:pPr>
      <w:r w:rsidRPr="007F307A">
        <w:rPr>
          <w:lang w:val="en-US"/>
        </w:rPr>
        <w:t xml:space="preserve">Wang, Y., </w:t>
      </w:r>
      <w:proofErr w:type="spellStart"/>
      <w:r w:rsidRPr="007F307A">
        <w:rPr>
          <w:lang w:val="en-US"/>
        </w:rPr>
        <w:t>Hopke</w:t>
      </w:r>
      <w:proofErr w:type="spellEnd"/>
      <w:r w:rsidRPr="007F307A">
        <w:rPr>
          <w:lang w:val="en-US"/>
        </w:rPr>
        <w:t xml:space="preserve">, P. K., Rattigan, O. V., Xia, X., Chalupa, D. C., and </w:t>
      </w:r>
      <w:proofErr w:type="spellStart"/>
      <w:r w:rsidRPr="007F307A">
        <w:rPr>
          <w:lang w:val="en-US"/>
        </w:rPr>
        <w:t>Utell</w:t>
      </w:r>
      <w:proofErr w:type="spellEnd"/>
      <w:r w:rsidRPr="007F307A">
        <w:rPr>
          <w:lang w:val="en-US"/>
        </w:rPr>
        <w:t xml:space="preserve">, M. J.: Characterization of residential wood combustion particles using the two-wavelength aethalometer, Environmental Science and Technology, 45, 7387–7393, URL </w:t>
      </w:r>
      <w:hyperlink r:id="rId152" w:history="1">
        <w:r w:rsidRPr="007F307A">
          <w:rPr>
            <w:rStyle w:val="Hyperlink"/>
            <w:lang w:val="en-US"/>
          </w:rPr>
          <w:t>https://doi.org/10.1021/es2013984</w:t>
        </w:r>
      </w:hyperlink>
      <w:r w:rsidRPr="007F307A">
        <w:rPr>
          <w:lang w:val="en-US"/>
        </w:rPr>
        <w:t>, 2011.</w:t>
      </w:r>
    </w:p>
    <w:p w14:paraId="1EE9B129" w14:textId="30600E6F" w:rsidR="00D92235" w:rsidRPr="007F307A" w:rsidRDefault="00D92235" w:rsidP="007F307A">
      <w:pPr>
        <w:pStyle w:val="ListParagraph"/>
        <w:numPr>
          <w:ilvl w:val="0"/>
          <w:numId w:val="4"/>
        </w:numPr>
        <w:rPr>
          <w:lang w:val="en-US"/>
        </w:rPr>
      </w:pPr>
      <w:r w:rsidRPr="007F307A">
        <w:rPr>
          <w:lang w:val="en-US"/>
        </w:rPr>
        <w:t xml:space="preserve">Wickham, H., </w:t>
      </w:r>
      <w:proofErr w:type="spellStart"/>
      <w:r w:rsidRPr="007F307A">
        <w:rPr>
          <w:lang w:val="en-US"/>
        </w:rPr>
        <w:t>Averick</w:t>
      </w:r>
      <w:proofErr w:type="spellEnd"/>
      <w:r w:rsidRPr="007F307A">
        <w:rPr>
          <w:lang w:val="en-US"/>
        </w:rPr>
        <w:t xml:space="preserve">, M., Bryan, J., Chang, W., McGowan, L. D., François, R., </w:t>
      </w:r>
      <w:proofErr w:type="spellStart"/>
      <w:r w:rsidRPr="007F307A">
        <w:rPr>
          <w:lang w:val="en-US"/>
        </w:rPr>
        <w:t>Grolemund</w:t>
      </w:r>
      <w:proofErr w:type="spellEnd"/>
      <w:r w:rsidRPr="007F307A">
        <w:rPr>
          <w:lang w:val="en-US"/>
        </w:rPr>
        <w:t xml:space="preserve">, G., Hayes, A., Henry, L., Hester, J., Kuhn, M., Pedersen, T. L., Miller, E., Bache, S. M., Müller, K., </w:t>
      </w:r>
      <w:proofErr w:type="spellStart"/>
      <w:r w:rsidRPr="007F307A">
        <w:rPr>
          <w:lang w:val="en-US"/>
        </w:rPr>
        <w:t>Ooms</w:t>
      </w:r>
      <w:proofErr w:type="spellEnd"/>
      <w:r w:rsidRPr="007F307A">
        <w:rPr>
          <w:lang w:val="en-US"/>
        </w:rPr>
        <w:t xml:space="preserve">, J., Robinson, D., Seidel, D. P., </w:t>
      </w:r>
      <w:proofErr w:type="spellStart"/>
      <w:r w:rsidRPr="007F307A">
        <w:rPr>
          <w:lang w:val="en-US"/>
        </w:rPr>
        <w:t>Spinu</w:t>
      </w:r>
      <w:proofErr w:type="spellEnd"/>
      <w:r w:rsidRPr="007F307A">
        <w:rPr>
          <w:lang w:val="en-US"/>
        </w:rPr>
        <w:t xml:space="preserve">, V., Takahashi, K., Vaughan, D., Wilke, C., Woo, K., and </w:t>
      </w:r>
      <w:proofErr w:type="spellStart"/>
      <w:r w:rsidRPr="007F307A">
        <w:rPr>
          <w:lang w:val="en-US"/>
        </w:rPr>
        <w:t>Yutani</w:t>
      </w:r>
      <w:proofErr w:type="spellEnd"/>
      <w:r w:rsidRPr="007F307A">
        <w:rPr>
          <w:lang w:val="en-US"/>
        </w:rPr>
        <w:t xml:space="preserve">, H.: Welcome to the </w:t>
      </w:r>
      <w:proofErr w:type="spellStart"/>
      <w:r w:rsidRPr="007F307A">
        <w:rPr>
          <w:lang w:val="en-US"/>
        </w:rPr>
        <w:t>tidyverse</w:t>
      </w:r>
      <w:proofErr w:type="spellEnd"/>
      <w:r w:rsidRPr="007F307A">
        <w:rPr>
          <w:lang w:val="en-US"/>
        </w:rPr>
        <w:t xml:space="preserve">, Journal of Open Source Software, 4, URL </w:t>
      </w:r>
      <w:hyperlink r:id="rId153" w:history="1">
        <w:r w:rsidRPr="007F307A">
          <w:rPr>
            <w:rStyle w:val="Hyperlink"/>
            <w:lang w:val="en-US"/>
          </w:rPr>
          <w:t>https://joss.theoj.org/papers/10.21105/joss.01686</w:t>
        </w:r>
      </w:hyperlink>
      <w:r w:rsidRPr="007F307A">
        <w:rPr>
          <w:lang w:val="en-US"/>
        </w:rPr>
        <w:t>, 2019.</w:t>
      </w:r>
    </w:p>
    <w:p w14:paraId="063E2706" w14:textId="54A5754D" w:rsidR="00D92235" w:rsidRPr="007F307A" w:rsidRDefault="00D92235" w:rsidP="007F307A">
      <w:pPr>
        <w:pStyle w:val="ListParagraph"/>
        <w:numPr>
          <w:ilvl w:val="0"/>
          <w:numId w:val="4"/>
        </w:numPr>
        <w:rPr>
          <w:lang w:val="en-US"/>
        </w:rPr>
      </w:pPr>
      <w:r w:rsidRPr="007F307A">
        <w:rPr>
          <w:lang w:val="en-US"/>
        </w:rPr>
        <w:t xml:space="preserve">Zhang, </w:t>
      </w:r>
      <w:r w:rsidR="003C0805" w:rsidRPr="003C0805">
        <w:rPr>
          <w:i/>
          <w:lang w:val="en-US"/>
        </w:rPr>
        <w:t>Q</w:t>
      </w:r>
      <w:r w:rsidRPr="007F307A">
        <w:rPr>
          <w:lang w:val="en-US"/>
        </w:rPr>
        <w:t xml:space="preserve">., Jimenez, J. L., Canagaratna, M. R., Ulbrich, I. M., Ng, N. L., Worsnop, D. R., and Sun, Y.: Understanding atmospheric organic aerosols via factor analysis of aerosol mass spectrometry: a review, Analytical and Bioanalytical Chemistry, 401, 3045–3067, URL </w:t>
      </w:r>
      <w:hyperlink r:id="rId154" w:history="1">
        <w:r w:rsidRPr="007F307A">
          <w:rPr>
            <w:rStyle w:val="Hyperlink"/>
            <w:lang w:val="en-US"/>
          </w:rPr>
          <w:t>https://link.springer.com/article/10.1007/s00216-011-5355-y</w:t>
        </w:r>
      </w:hyperlink>
      <w:r w:rsidRPr="007F307A">
        <w:rPr>
          <w:lang w:val="en-US"/>
        </w:rPr>
        <w:t>, 2011.</w:t>
      </w:r>
    </w:p>
    <w:p w14:paraId="6441FC90" w14:textId="7E032331" w:rsidR="002B5422" w:rsidRPr="007F307A" w:rsidRDefault="00D92235" w:rsidP="00D32D5D">
      <w:pPr>
        <w:pStyle w:val="ListParagraph"/>
        <w:numPr>
          <w:ilvl w:val="0"/>
          <w:numId w:val="4"/>
        </w:numPr>
        <w:rPr>
          <w:lang w:val="en-US"/>
        </w:rPr>
      </w:pPr>
      <w:r w:rsidRPr="007F307A">
        <w:rPr>
          <w:lang w:val="en-US"/>
        </w:rPr>
        <w:t xml:space="preserve">Zhu, </w:t>
      </w:r>
      <w:r w:rsidR="003C0805" w:rsidRPr="003C0805">
        <w:rPr>
          <w:i/>
          <w:lang w:val="en-US"/>
        </w:rPr>
        <w:t>Q</w:t>
      </w:r>
      <w:r w:rsidRPr="007F307A">
        <w:rPr>
          <w:lang w:val="en-US"/>
        </w:rPr>
        <w:t xml:space="preserve">., Huang, X.-F., Cao, L.-M., Wei, L.-T., Zhang, S, He, L.-Y., </w:t>
      </w:r>
      <w:proofErr w:type="spellStart"/>
      <w:r w:rsidRPr="007F307A">
        <w:rPr>
          <w:lang w:val="en-US"/>
        </w:rPr>
        <w:t>Elser</w:t>
      </w:r>
      <w:proofErr w:type="spellEnd"/>
      <w:r w:rsidRPr="007F307A">
        <w:rPr>
          <w:lang w:val="en-US"/>
        </w:rPr>
        <w:t xml:space="preserve">, M., Canonaco, F., Slowik, J. G., </w:t>
      </w:r>
      <w:proofErr w:type="spellStart"/>
      <w:r w:rsidRPr="007F307A">
        <w:rPr>
          <w:lang w:val="en-US"/>
        </w:rPr>
        <w:t>Bozzetti</w:t>
      </w:r>
      <w:proofErr w:type="spellEnd"/>
      <w:r w:rsidRPr="007F307A">
        <w:rPr>
          <w:lang w:val="en-US"/>
        </w:rPr>
        <w:t xml:space="preserve">, C., El-Haddad, I., and Prévôt, A. S. H.: Improved source apportionment of organic aerosols in complex urban air pollution using the multilinear engine (ME-2), Atmospheric Measurement Techniques, 11, 1049–1060, </w:t>
      </w:r>
      <w:r w:rsidRPr="007F307A">
        <w:rPr>
          <w:lang w:val="en-US"/>
        </w:rPr>
        <w:br/>
        <w:t xml:space="preserve">URL </w:t>
      </w:r>
      <w:hyperlink r:id="rId155" w:history="1">
        <w:r w:rsidRPr="007F307A">
          <w:rPr>
            <w:rStyle w:val="Hyperlink"/>
            <w:lang w:val="en-US"/>
          </w:rPr>
          <w:t>https://amt.copernicus.org/articles/11/1049/2018/</w:t>
        </w:r>
      </w:hyperlink>
      <w:r w:rsidRPr="007F307A">
        <w:rPr>
          <w:lang w:val="en-US"/>
        </w:rPr>
        <w:t>, 2018.</w:t>
      </w:r>
    </w:p>
    <w:sectPr w:rsidR="002B5422" w:rsidRPr="007F307A" w:rsidSect="00F512A5">
      <w:footerReference w:type="default" r:id="rId156"/>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E8D4AB" w14:textId="77777777" w:rsidR="004C1BEF" w:rsidRDefault="004C1BEF" w:rsidP="006D0C96">
      <w:pPr>
        <w:spacing w:line="240" w:lineRule="auto"/>
      </w:pPr>
      <w:r>
        <w:separator/>
      </w:r>
    </w:p>
  </w:endnote>
  <w:endnote w:type="continuationSeparator" w:id="0">
    <w:p w14:paraId="56888E27" w14:textId="77777777" w:rsidR="004C1BEF" w:rsidRDefault="004C1BEF"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Open Sans">
    <w:altName w:val="Segoe UI"/>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7788171"/>
      <w:docPartObj>
        <w:docPartGallery w:val="Page Numbers (Bottom of Page)"/>
        <w:docPartUnique/>
      </w:docPartObj>
    </w:sdtPr>
    <w:sdtEndPr>
      <w:rPr>
        <w:noProof/>
      </w:rPr>
    </w:sdtEndPr>
    <w:sdtContent>
      <w:p w14:paraId="5576ABD1" w14:textId="77777777" w:rsidR="00D32D5D" w:rsidRDefault="00D32D5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4AA5123" w14:textId="77777777" w:rsidR="00D32D5D" w:rsidRDefault="00D32D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D212CE" w14:textId="77777777" w:rsidR="004C1BEF" w:rsidRDefault="004C1BEF" w:rsidP="006D0C96">
      <w:pPr>
        <w:spacing w:line="240" w:lineRule="auto"/>
      </w:pPr>
      <w:r>
        <w:separator/>
      </w:r>
    </w:p>
  </w:footnote>
  <w:footnote w:type="continuationSeparator" w:id="0">
    <w:p w14:paraId="70004A9F" w14:textId="77777777" w:rsidR="004C1BEF" w:rsidRDefault="004C1BEF"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78C3CD1"/>
    <w:multiLevelType w:val="hybridMultilevel"/>
    <w:tmpl w:val="B420BC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271FC"/>
    <w:rsid w:val="00045E8A"/>
    <w:rsid w:val="0005690A"/>
    <w:rsid w:val="00075F28"/>
    <w:rsid w:val="000A1B66"/>
    <w:rsid w:val="000C3A9F"/>
    <w:rsid w:val="001558C5"/>
    <w:rsid w:val="001C5EB9"/>
    <w:rsid w:val="00203F92"/>
    <w:rsid w:val="00226B5D"/>
    <w:rsid w:val="00287D01"/>
    <w:rsid w:val="002A6E54"/>
    <w:rsid w:val="002B5422"/>
    <w:rsid w:val="002D7ECA"/>
    <w:rsid w:val="003118C8"/>
    <w:rsid w:val="003A4FB4"/>
    <w:rsid w:val="003C0805"/>
    <w:rsid w:val="003C46BC"/>
    <w:rsid w:val="003D5288"/>
    <w:rsid w:val="003E6912"/>
    <w:rsid w:val="003E77F1"/>
    <w:rsid w:val="00413AD9"/>
    <w:rsid w:val="00450DB9"/>
    <w:rsid w:val="00463568"/>
    <w:rsid w:val="004C1BEF"/>
    <w:rsid w:val="004D0F1A"/>
    <w:rsid w:val="004D124D"/>
    <w:rsid w:val="0051128E"/>
    <w:rsid w:val="00526841"/>
    <w:rsid w:val="0055217B"/>
    <w:rsid w:val="00564213"/>
    <w:rsid w:val="005920BB"/>
    <w:rsid w:val="005A4F32"/>
    <w:rsid w:val="006047A2"/>
    <w:rsid w:val="006326D7"/>
    <w:rsid w:val="00670F05"/>
    <w:rsid w:val="00683476"/>
    <w:rsid w:val="0068566A"/>
    <w:rsid w:val="006D0C96"/>
    <w:rsid w:val="0070537F"/>
    <w:rsid w:val="007362C4"/>
    <w:rsid w:val="00736706"/>
    <w:rsid w:val="00751A44"/>
    <w:rsid w:val="00796A7F"/>
    <w:rsid w:val="007E12C3"/>
    <w:rsid w:val="007F307A"/>
    <w:rsid w:val="007F5AB1"/>
    <w:rsid w:val="00855006"/>
    <w:rsid w:val="00861BDC"/>
    <w:rsid w:val="008B719F"/>
    <w:rsid w:val="008C0D9F"/>
    <w:rsid w:val="008E213F"/>
    <w:rsid w:val="008E3110"/>
    <w:rsid w:val="008F0D18"/>
    <w:rsid w:val="009150E4"/>
    <w:rsid w:val="0091791F"/>
    <w:rsid w:val="00932F15"/>
    <w:rsid w:val="00943440"/>
    <w:rsid w:val="00995AEE"/>
    <w:rsid w:val="009A5554"/>
    <w:rsid w:val="009D38E2"/>
    <w:rsid w:val="009D4B01"/>
    <w:rsid w:val="009F2C0A"/>
    <w:rsid w:val="00A66090"/>
    <w:rsid w:val="00A7290A"/>
    <w:rsid w:val="00AC169F"/>
    <w:rsid w:val="00AE4157"/>
    <w:rsid w:val="00B4015F"/>
    <w:rsid w:val="00B5719D"/>
    <w:rsid w:val="00B75342"/>
    <w:rsid w:val="00B949CB"/>
    <w:rsid w:val="00B94A58"/>
    <w:rsid w:val="00BB17EB"/>
    <w:rsid w:val="00BC1694"/>
    <w:rsid w:val="00BD0523"/>
    <w:rsid w:val="00C1589F"/>
    <w:rsid w:val="00C213C3"/>
    <w:rsid w:val="00C26311"/>
    <w:rsid w:val="00C35812"/>
    <w:rsid w:val="00C71330"/>
    <w:rsid w:val="00C82F79"/>
    <w:rsid w:val="00CC51D0"/>
    <w:rsid w:val="00D0738A"/>
    <w:rsid w:val="00D07505"/>
    <w:rsid w:val="00D17215"/>
    <w:rsid w:val="00D32D5D"/>
    <w:rsid w:val="00D40CE0"/>
    <w:rsid w:val="00D6494C"/>
    <w:rsid w:val="00D92235"/>
    <w:rsid w:val="00DB4E53"/>
    <w:rsid w:val="00DC62AB"/>
    <w:rsid w:val="00E00339"/>
    <w:rsid w:val="00E142A8"/>
    <w:rsid w:val="00E861A5"/>
    <w:rsid w:val="00ED3804"/>
    <w:rsid w:val="00ED6B96"/>
    <w:rsid w:val="00EE58C0"/>
    <w:rsid w:val="00F009BF"/>
    <w:rsid w:val="00F2214C"/>
    <w:rsid w:val="00F35903"/>
    <w:rsid w:val="00F512A5"/>
    <w:rsid w:val="00F5258E"/>
    <w:rsid w:val="00F53398"/>
    <w:rsid w:val="00F64C9C"/>
    <w:rsid w:val="00F90D9A"/>
    <w:rsid w:val="00FC47C6"/>
    <w:rsid w:val="00FF308B"/>
    <w:rsid w:val="00FF5E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table" w:styleId="TableSubtle1">
    <w:name w:val="Table Subtle 1"/>
    <w:basedOn w:val="GridTable1Light"/>
    <w:uiPriority w:val="99"/>
    <w:semiHidden/>
    <w:unhideWhenUsed/>
    <w:rsid w:val="003E77F1"/>
    <w:rPr>
      <w:rFonts w:eastAsia="Calibri"/>
      <w:sz w:val="22"/>
      <w:szCs w:val="22"/>
      <w:lang w:val="en-US" w:eastAsia="en-US"/>
    </w:rPr>
    <w:tblPr>
      <w:tblBorders>
        <w:top w:val="none" w:sz="0" w:space="0" w:color="auto"/>
        <w:left w:val="none" w:sz="0" w:space="0" w:color="auto"/>
        <w:bottom w:val="single" w:sz="4" w:space="0" w:color="auto"/>
        <w:right w:val="none" w:sz="0" w:space="0" w:color="auto"/>
        <w:insideH w:val="single" w:sz="6" w:space="0" w:color="999999"/>
        <w:insideV w:val="single" w:sz="6" w:space="0" w:color="999999"/>
      </w:tblBorders>
    </w:tblPr>
    <w:tblStylePr w:type="firstRow">
      <w:rPr>
        <w:b/>
        <w:bCs/>
      </w:rPr>
      <w:tblPr/>
      <w:tcPr>
        <w:tcBorders>
          <w:top w:val="single" w:sz="6" w:space="0" w:color="000000"/>
          <w:bottom w:val="single" w:sz="12" w:space="0" w:color="000000"/>
          <w:tl2br w:val="none" w:sz="0" w:space="0" w:color="auto"/>
          <w:tr2bl w:val="none" w:sz="0" w:space="0" w:color="auto"/>
        </w:tcBorders>
      </w:tcPr>
    </w:tblStylePr>
    <w:tblStylePr w:type="lastRow">
      <w:rPr>
        <w:b/>
        <w:bCs/>
      </w:rPr>
      <w:tblPr/>
      <w:tcPr>
        <w:tcBorders>
          <w:top w:val="single" w:sz="12" w:space="0" w:color="000000"/>
          <w:tl2br w:val="none" w:sz="0" w:space="0" w:color="auto"/>
          <w:tr2bl w:val="none" w:sz="0" w:space="0" w:color="auto"/>
        </w:tcBorders>
        <w:shd w:val="pct25" w:color="800080" w:fill="FFFFFF"/>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12" w:space="0" w:color="000000"/>
          <w:tl2br w:val="none" w:sz="0" w:space="0" w:color="auto"/>
          <w:tr2bl w:val="none" w:sz="0" w:space="0" w:color="auto"/>
        </w:tcBorders>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GridTable1Light">
    <w:name w:val="Grid Table 1 Light"/>
    <w:basedOn w:val="TableNormal"/>
    <w:uiPriority w:val="46"/>
    <w:rsid w:val="003E77F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D922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48463">
      <w:bodyDiv w:val="1"/>
      <w:marLeft w:val="0"/>
      <w:marRight w:val="0"/>
      <w:marTop w:val="0"/>
      <w:marBottom w:val="0"/>
      <w:divBdr>
        <w:top w:val="none" w:sz="0" w:space="0" w:color="auto"/>
        <w:left w:val="none" w:sz="0" w:space="0" w:color="auto"/>
        <w:bottom w:val="none" w:sz="0" w:space="0" w:color="auto"/>
        <w:right w:val="none" w:sz="0" w:space="0" w:color="auto"/>
      </w:divBdr>
    </w:div>
    <w:div w:id="136923163">
      <w:bodyDiv w:val="1"/>
      <w:marLeft w:val="0"/>
      <w:marRight w:val="0"/>
      <w:marTop w:val="0"/>
      <w:marBottom w:val="0"/>
      <w:divBdr>
        <w:top w:val="none" w:sz="0" w:space="0" w:color="auto"/>
        <w:left w:val="none" w:sz="0" w:space="0" w:color="auto"/>
        <w:bottom w:val="none" w:sz="0" w:space="0" w:color="auto"/>
        <w:right w:val="none" w:sz="0" w:space="0" w:color="auto"/>
      </w:divBdr>
    </w:div>
    <w:div w:id="162742349">
      <w:bodyDiv w:val="1"/>
      <w:marLeft w:val="0"/>
      <w:marRight w:val="0"/>
      <w:marTop w:val="0"/>
      <w:marBottom w:val="0"/>
      <w:divBdr>
        <w:top w:val="none" w:sz="0" w:space="0" w:color="auto"/>
        <w:left w:val="none" w:sz="0" w:space="0" w:color="auto"/>
        <w:bottom w:val="none" w:sz="0" w:space="0" w:color="auto"/>
        <w:right w:val="none" w:sz="0" w:space="0" w:color="auto"/>
      </w:divBdr>
    </w:div>
    <w:div w:id="199166453">
      <w:bodyDiv w:val="1"/>
      <w:marLeft w:val="0"/>
      <w:marRight w:val="0"/>
      <w:marTop w:val="0"/>
      <w:marBottom w:val="0"/>
      <w:divBdr>
        <w:top w:val="none" w:sz="0" w:space="0" w:color="auto"/>
        <w:left w:val="none" w:sz="0" w:space="0" w:color="auto"/>
        <w:bottom w:val="none" w:sz="0" w:space="0" w:color="auto"/>
        <w:right w:val="none" w:sz="0" w:space="0" w:color="auto"/>
      </w:divBdr>
    </w:div>
    <w:div w:id="296188020">
      <w:bodyDiv w:val="1"/>
      <w:marLeft w:val="0"/>
      <w:marRight w:val="0"/>
      <w:marTop w:val="0"/>
      <w:marBottom w:val="0"/>
      <w:divBdr>
        <w:top w:val="none" w:sz="0" w:space="0" w:color="auto"/>
        <w:left w:val="none" w:sz="0" w:space="0" w:color="auto"/>
        <w:bottom w:val="none" w:sz="0" w:space="0" w:color="auto"/>
        <w:right w:val="none" w:sz="0" w:space="0" w:color="auto"/>
      </w:divBdr>
    </w:div>
    <w:div w:id="379281293">
      <w:bodyDiv w:val="1"/>
      <w:marLeft w:val="0"/>
      <w:marRight w:val="0"/>
      <w:marTop w:val="0"/>
      <w:marBottom w:val="0"/>
      <w:divBdr>
        <w:top w:val="none" w:sz="0" w:space="0" w:color="auto"/>
        <w:left w:val="none" w:sz="0" w:space="0" w:color="auto"/>
        <w:bottom w:val="none" w:sz="0" w:space="0" w:color="auto"/>
        <w:right w:val="none" w:sz="0" w:space="0" w:color="auto"/>
      </w:divBdr>
    </w:div>
    <w:div w:id="386759327">
      <w:bodyDiv w:val="1"/>
      <w:marLeft w:val="0"/>
      <w:marRight w:val="0"/>
      <w:marTop w:val="0"/>
      <w:marBottom w:val="0"/>
      <w:divBdr>
        <w:top w:val="none" w:sz="0" w:space="0" w:color="auto"/>
        <w:left w:val="none" w:sz="0" w:space="0" w:color="auto"/>
        <w:bottom w:val="none" w:sz="0" w:space="0" w:color="auto"/>
        <w:right w:val="none" w:sz="0" w:space="0" w:color="auto"/>
      </w:divBdr>
    </w:div>
    <w:div w:id="412553446">
      <w:bodyDiv w:val="1"/>
      <w:marLeft w:val="0"/>
      <w:marRight w:val="0"/>
      <w:marTop w:val="0"/>
      <w:marBottom w:val="0"/>
      <w:divBdr>
        <w:top w:val="none" w:sz="0" w:space="0" w:color="auto"/>
        <w:left w:val="none" w:sz="0" w:space="0" w:color="auto"/>
        <w:bottom w:val="none" w:sz="0" w:space="0" w:color="auto"/>
        <w:right w:val="none" w:sz="0" w:space="0" w:color="auto"/>
      </w:divBdr>
    </w:div>
    <w:div w:id="421876434">
      <w:bodyDiv w:val="1"/>
      <w:marLeft w:val="0"/>
      <w:marRight w:val="0"/>
      <w:marTop w:val="0"/>
      <w:marBottom w:val="0"/>
      <w:divBdr>
        <w:top w:val="none" w:sz="0" w:space="0" w:color="auto"/>
        <w:left w:val="none" w:sz="0" w:space="0" w:color="auto"/>
        <w:bottom w:val="none" w:sz="0" w:space="0" w:color="auto"/>
        <w:right w:val="none" w:sz="0" w:space="0" w:color="auto"/>
      </w:divBdr>
    </w:div>
    <w:div w:id="468405490">
      <w:bodyDiv w:val="1"/>
      <w:marLeft w:val="0"/>
      <w:marRight w:val="0"/>
      <w:marTop w:val="0"/>
      <w:marBottom w:val="0"/>
      <w:divBdr>
        <w:top w:val="none" w:sz="0" w:space="0" w:color="auto"/>
        <w:left w:val="none" w:sz="0" w:space="0" w:color="auto"/>
        <w:bottom w:val="none" w:sz="0" w:space="0" w:color="auto"/>
        <w:right w:val="none" w:sz="0" w:space="0" w:color="auto"/>
      </w:divBdr>
    </w:div>
    <w:div w:id="526530695">
      <w:bodyDiv w:val="1"/>
      <w:marLeft w:val="0"/>
      <w:marRight w:val="0"/>
      <w:marTop w:val="0"/>
      <w:marBottom w:val="0"/>
      <w:divBdr>
        <w:top w:val="none" w:sz="0" w:space="0" w:color="auto"/>
        <w:left w:val="none" w:sz="0" w:space="0" w:color="auto"/>
        <w:bottom w:val="none" w:sz="0" w:space="0" w:color="auto"/>
        <w:right w:val="none" w:sz="0" w:space="0" w:color="auto"/>
      </w:divBdr>
    </w:div>
    <w:div w:id="585573289">
      <w:bodyDiv w:val="1"/>
      <w:marLeft w:val="0"/>
      <w:marRight w:val="0"/>
      <w:marTop w:val="0"/>
      <w:marBottom w:val="0"/>
      <w:divBdr>
        <w:top w:val="none" w:sz="0" w:space="0" w:color="auto"/>
        <w:left w:val="none" w:sz="0" w:space="0" w:color="auto"/>
        <w:bottom w:val="none" w:sz="0" w:space="0" w:color="auto"/>
        <w:right w:val="none" w:sz="0" w:space="0" w:color="auto"/>
      </w:divBdr>
    </w:div>
    <w:div w:id="650721329">
      <w:bodyDiv w:val="1"/>
      <w:marLeft w:val="0"/>
      <w:marRight w:val="0"/>
      <w:marTop w:val="0"/>
      <w:marBottom w:val="0"/>
      <w:divBdr>
        <w:top w:val="none" w:sz="0" w:space="0" w:color="auto"/>
        <w:left w:val="none" w:sz="0" w:space="0" w:color="auto"/>
        <w:bottom w:val="none" w:sz="0" w:space="0" w:color="auto"/>
        <w:right w:val="none" w:sz="0" w:space="0" w:color="auto"/>
      </w:divBdr>
    </w:div>
    <w:div w:id="657733434">
      <w:bodyDiv w:val="1"/>
      <w:marLeft w:val="0"/>
      <w:marRight w:val="0"/>
      <w:marTop w:val="0"/>
      <w:marBottom w:val="0"/>
      <w:divBdr>
        <w:top w:val="none" w:sz="0" w:space="0" w:color="auto"/>
        <w:left w:val="none" w:sz="0" w:space="0" w:color="auto"/>
        <w:bottom w:val="none" w:sz="0" w:space="0" w:color="auto"/>
        <w:right w:val="none" w:sz="0" w:space="0" w:color="auto"/>
      </w:divBdr>
    </w:div>
    <w:div w:id="757866893">
      <w:bodyDiv w:val="1"/>
      <w:marLeft w:val="0"/>
      <w:marRight w:val="0"/>
      <w:marTop w:val="0"/>
      <w:marBottom w:val="0"/>
      <w:divBdr>
        <w:top w:val="none" w:sz="0" w:space="0" w:color="auto"/>
        <w:left w:val="none" w:sz="0" w:space="0" w:color="auto"/>
        <w:bottom w:val="none" w:sz="0" w:space="0" w:color="auto"/>
        <w:right w:val="none" w:sz="0" w:space="0" w:color="auto"/>
      </w:divBdr>
    </w:div>
    <w:div w:id="763495256">
      <w:bodyDiv w:val="1"/>
      <w:marLeft w:val="0"/>
      <w:marRight w:val="0"/>
      <w:marTop w:val="0"/>
      <w:marBottom w:val="0"/>
      <w:divBdr>
        <w:top w:val="none" w:sz="0" w:space="0" w:color="auto"/>
        <w:left w:val="none" w:sz="0" w:space="0" w:color="auto"/>
        <w:bottom w:val="none" w:sz="0" w:space="0" w:color="auto"/>
        <w:right w:val="none" w:sz="0" w:space="0" w:color="auto"/>
      </w:divBdr>
    </w:div>
    <w:div w:id="775902579">
      <w:bodyDiv w:val="1"/>
      <w:marLeft w:val="0"/>
      <w:marRight w:val="0"/>
      <w:marTop w:val="0"/>
      <w:marBottom w:val="0"/>
      <w:divBdr>
        <w:top w:val="none" w:sz="0" w:space="0" w:color="auto"/>
        <w:left w:val="none" w:sz="0" w:space="0" w:color="auto"/>
        <w:bottom w:val="none" w:sz="0" w:space="0" w:color="auto"/>
        <w:right w:val="none" w:sz="0" w:space="0" w:color="auto"/>
      </w:divBdr>
    </w:div>
    <w:div w:id="780153371">
      <w:bodyDiv w:val="1"/>
      <w:marLeft w:val="0"/>
      <w:marRight w:val="0"/>
      <w:marTop w:val="0"/>
      <w:marBottom w:val="0"/>
      <w:divBdr>
        <w:top w:val="none" w:sz="0" w:space="0" w:color="auto"/>
        <w:left w:val="none" w:sz="0" w:space="0" w:color="auto"/>
        <w:bottom w:val="none" w:sz="0" w:space="0" w:color="auto"/>
        <w:right w:val="none" w:sz="0" w:space="0" w:color="auto"/>
      </w:divBdr>
    </w:div>
    <w:div w:id="863715443">
      <w:bodyDiv w:val="1"/>
      <w:marLeft w:val="0"/>
      <w:marRight w:val="0"/>
      <w:marTop w:val="0"/>
      <w:marBottom w:val="0"/>
      <w:divBdr>
        <w:top w:val="none" w:sz="0" w:space="0" w:color="auto"/>
        <w:left w:val="none" w:sz="0" w:space="0" w:color="auto"/>
        <w:bottom w:val="none" w:sz="0" w:space="0" w:color="auto"/>
        <w:right w:val="none" w:sz="0" w:space="0" w:color="auto"/>
      </w:divBdr>
    </w:div>
    <w:div w:id="879978103">
      <w:bodyDiv w:val="1"/>
      <w:marLeft w:val="0"/>
      <w:marRight w:val="0"/>
      <w:marTop w:val="0"/>
      <w:marBottom w:val="0"/>
      <w:divBdr>
        <w:top w:val="none" w:sz="0" w:space="0" w:color="auto"/>
        <w:left w:val="none" w:sz="0" w:space="0" w:color="auto"/>
        <w:bottom w:val="none" w:sz="0" w:space="0" w:color="auto"/>
        <w:right w:val="none" w:sz="0" w:space="0" w:color="auto"/>
      </w:divBdr>
    </w:div>
    <w:div w:id="940990379">
      <w:bodyDiv w:val="1"/>
      <w:marLeft w:val="0"/>
      <w:marRight w:val="0"/>
      <w:marTop w:val="0"/>
      <w:marBottom w:val="0"/>
      <w:divBdr>
        <w:top w:val="none" w:sz="0" w:space="0" w:color="auto"/>
        <w:left w:val="none" w:sz="0" w:space="0" w:color="auto"/>
        <w:bottom w:val="none" w:sz="0" w:space="0" w:color="auto"/>
        <w:right w:val="none" w:sz="0" w:space="0" w:color="auto"/>
      </w:divBdr>
    </w:div>
    <w:div w:id="1049260016">
      <w:bodyDiv w:val="1"/>
      <w:marLeft w:val="0"/>
      <w:marRight w:val="0"/>
      <w:marTop w:val="0"/>
      <w:marBottom w:val="0"/>
      <w:divBdr>
        <w:top w:val="none" w:sz="0" w:space="0" w:color="auto"/>
        <w:left w:val="none" w:sz="0" w:space="0" w:color="auto"/>
        <w:bottom w:val="none" w:sz="0" w:space="0" w:color="auto"/>
        <w:right w:val="none" w:sz="0" w:space="0" w:color="auto"/>
      </w:divBdr>
    </w:div>
    <w:div w:id="1051225574">
      <w:bodyDiv w:val="1"/>
      <w:marLeft w:val="0"/>
      <w:marRight w:val="0"/>
      <w:marTop w:val="0"/>
      <w:marBottom w:val="0"/>
      <w:divBdr>
        <w:top w:val="none" w:sz="0" w:space="0" w:color="auto"/>
        <w:left w:val="none" w:sz="0" w:space="0" w:color="auto"/>
        <w:bottom w:val="none" w:sz="0" w:space="0" w:color="auto"/>
        <w:right w:val="none" w:sz="0" w:space="0" w:color="auto"/>
      </w:divBdr>
    </w:div>
    <w:div w:id="1098259845">
      <w:bodyDiv w:val="1"/>
      <w:marLeft w:val="0"/>
      <w:marRight w:val="0"/>
      <w:marTop w:val="0"/>
      <w:marBottom w:val="0"/>
      <w:divBdr>
        <w:top w:val="none" w:sz="0" w:space="0" w:color="auto"/>
        <w:left w:val="none" w:sz="0" w:space="0" w:color="auto"/>
        <w:bottom w:val="none" w:sz="0" w:space="0" w:color="auto"/>
        <w:right w:val="none" w:sz="0" w:space="0" w:color="auto"/>
      </w:divBdr>
    </w:div>
    <w:div w:id="1127119810">
      <w:bodyDiv w:val="1"/>
      <w:marLeft w:val="0"/>
      <w:marRight w:val="0"/>
      <w:marTop w:val="0"/>
      <w:marBottom w:val="0"/>
      <w:divBdr>
        <w:top w:val="none" w:sz="0" w:space="0" w:color="auto"/>
        <w:left w:val="none" w:sz="0" w:space="0" w:color="auto"/>
        <w:bottom w:val="none" w:sz="0" w:space="0" w:color="auto"/>
        <w:right w:val="none" w:sz="0" w:space="0" w:color="auto"/>
      </w:divBdr>
    </w:div>
    <w:div w:id="1192913801">
      <w:bodyDiv w:val="1"/>
      <w:marLeft w:val="0"/>
      <w:marRight w:val="0"/>
      <w:marTop w:val="0"/>
      <w:marBottom w:val="0"/>
      <w:divBdr>
        <w:top w:val="none" w:sz="0" w:space="0" w:color="auto"/>
        <w:left w:val="none" w:sz="0" w:space="0" w:color="auto"/>
        <w:bottom w:val="none" w:sz="0" w:space="0" w:color="auto"/>
        <w:right w:val="none" w:sz="0" w:space="0" w:color="auto"/>
      </w:divBdr>
    </w:div>
    <w:div w:id="1263804705">
      <w:bodyDiv w:val="1"/>
      <w:marLeft w:val="0"/>
      <w:marRight w:val="0"/>
      <w:marTop w:val="0"/>
      <w:marBottom w:val="0"/>
      <w:divBdr>
        <w:top w:val="none" w:sz="0" w:space="0" w:color="auto"/>
        <w:left w:val="none" w:sz="0" w:space="0" w:color="auto"/>
        <w:bottom w:val="none" w:sz="0" w:space="0" w:color="auto"/>
        <w:right w:val="none" w:sz="0" w:space="0" w:color="auto"/>
      </w:divBdr>
    </w:div>
    <w:div w:id="1324695814">
      <w:bodyDiv w:val="1"/>
      <w:marLeft w:val="0"/>
      <w:marRight w:val="0"/>
      <w:marTop w:val="0"/>
      <w:marBottom w:val="0"/>
      <w:divBdr>
        <w:top w:val="none" w:sz="0" w:space="0" w:color="auto"/>
        <w:left w:val="none" w:sz="0" w:space="0" w:color="auto"/>
        <w:bottom w:val="none" w:sz="0" w:space="0" w:color="auto"/>
        <w:right w:val="none" w:sz="0" w:space="0" w:color="auto"/>
      </w:divBdr>
    </w:div>
    <w:div w:id="1361396858">
      <w:bodyDiv w:val="1"/>
      <w:marLeft w:val="0"/>
      <w:marRight w:val="0"/>
      <w:marTop w:val="0"/>
      <w:marBottom w:val="0"/>
      <w:divBdr>
        <w:top w:val="none" w:sz="0" w:space="0" w:color="auto"/>
        <w:left w:val="none" w:sz="0" w:space="0" w:color="auto"/>
        <w:bottom w:val="none" w:sz="0" w:space="0" w:color="auto"/>
        <w:right w:val="none" w:sz="0" w:space="0" w:color="auto"/>
      </w:divBdr>
    </w:div>
    <w:div w:id="1377269793">
      <w:bodyDiv w:val="1"/>
      <w:marLeft w:val="0"/>
      <w:marRight w:val="0"/>
      <w:marTop w:val="0"/>
      <w:marBottom w:val="0"/>
      <w:divBdr>
        <w:top w:val="none" w:sz="0" w:space="0" w:color="auto"/>
        <w:left w:val="none" w:sz="0" w:space="0" w:color="auto"/>
        <w:bottom w:val="none" w:sz="0" w:space="0" w:color="auto"/>
        <w:right w:val="none" w:sz="0" w:space="0" w:color="auto"/>
      </w:divBdr>
    </w:div>
    <w:div w:id="1382703771">
      <w:bodyDiv w:val="1"/>
      <w:marLeft w:val="0"/>
      <w:marRight w:val="0"/>
      <w:marTop w:val="0"/>
      <w:marBottom w:val="0"/>
      <w:divBdr>
        <w:top w:val="none" w:sz="0" w:space="0" w:color="auto"/>
        <w:left w:val="none" w:sz="0" w:space="0" w:color="auto"/>
        <w:bottom w:val="none" w:sz="0" w:space="0" w:color="auto"/>
        <w:right w:val="none" w:sz="0" w:space="0" w:color="auto"/>
      </w:divBdr>
    </w:div>
    <w:div w:id="1404570764">
      <w:bodyDiv w:val="1"/>
      <w:marLeft w:val="0"/>
      <w:marRight w:val="0"/>
      <w:marTop w:val="0"/>
      <w:marBottom w:val="0"/>
      <w:divBdr>
        <w:top w:val="none" w:sz="0" w:space="0" w:color="auto"/>
        <w:left w:val="none" w:sz="0" w:space="0" w:color="auto"/>
        <w:bottom w:val="none" w:sz="0" w:space="0" w:color="auto"/>
        <w:right w:val="none" w:sz="0" w:space="0" w:color="auto"/>
      </w:divBdr>
    </w:div>
    <w:div w:id="1500845300">
      <w:bodyDiv w:val="1"/>
      <w:marLeft w:val="0"/>
      <w:marRight w:val="0"/>
      <w:marTop w:val="0"/>
      <w:marBottom w:val="0"/>
      <w:divBdr>
        <w:top w:val="none" w:sz="0" w:space="0" w:color="auto"/>
        <w:left w:val="none" w:sz="0" w:space="0" w:color="auto"/>
        <w:bottom w:val="none" w:sz="0" w:space="0" w:color="auto"/>
        <w:right w:val="none" w:sz="0" w:space="0" w:color="auto"/>
      </w:divBdr>
    </w:div>
    <w:div w:id="1572039639">
      <w:bodyDiv w:val="1"/>
      <w:marLeft w:val="0"/>
      <w:marRight w:val="0"/>
      <w:marTop w:val="0"/>
      <w:marBottom w:val="0"/>
      <w:divBdr>
        <w:top w:val="none" w:sz="0" w:space="0" w:color="auto"/>
        <w:left w:val="none" w:sz="0" w:space="0" w:color="auto"/>
        <w:bottom w:val="none" w:sz="0" w:space="0" w:color="auto"/>
        <w:right w:val="none" w:sz="0" w:space="0" w:color="auto"/>
      </w:divBdr>
    </w:div>
    <w:div w:id="1645157248">
      <w:bodyDiv w:val="1"/>
      <w:marLeft w:val="0"/>
      <w:marRight w:val="0"/>
      <w:marTop w:val="0"/>
      <w:marBottom w:val="0"/>
      <w:divBdr>
        <w:top w:val="none" w:sz="0" w:space="0" w:color="auto"/>
        <w:left w:val="none" w:sz="0" w:space="0" w:color="auto"/>
        <w:bottom w:val="none" w:sz="0" w:space="0" w:color="auto"/>
        <w:right w:val="none" w:sz="0" w:space="0" w:color="auto"/>
      </w:divBdr>
    </w:div>
    <w:div w:id="1679230553">
      <w:bodyDiv w:val="1"/>
      <w:marLeft w:val="0"/>
      <w:marRight w:val="0"/>
      <w:marTop w:val="0"/>
      <w:marBottom w:val="0"/>
      <w:divBdr>
        <w:top w:val="none" w:sz="0" w:space="0" w:color="auto"/>
        <w:left w:val="none" w:sz="0" w:space="0" w:color="auto"/>
        <w:bottom w:val="none" w:sz="0" w:space="0" w:color="auto"/>
        <w:right w:val="none" w:sz="0" w:space="0" w:color="auto"/>
      </w:divBdr>
    </w:div>
    <w:div w:id="1690913646">
      <w:bodyDiv w:val="1"/>
      <w:marLeft w:val="0"/>
      <w:marRight w:val="0"/>
      <w:marTop w:val="0"/>
      <w:marBottom w:val="0"/>
      <w:divBdr>
        <w:top w:val="none" w:sz="0" w:space="0" w:color="auto"/>
        <w:left w:val="none" w:sz="0" w:space="0" w:color="auto"/>
        <w:bottom w:val="none" w:sz="0" w:space="0" w:color="auto"/>
        <w:right w:val="none" w:sz="0" w:space="0" w:color="auto"/>
      </w:divBdr>
    </w:div>
    <w:div w:id="1743529027">
      <w:bodyDiv w:val="1"/>
      <w:marLeft w:val="0"/>
      <w:marRight w:val="0"/>
      <w:marTop w:val="0"/>
      <w:marBottom w:val="0"/>
      <w:divBdr>
        <w:top w:val="none" w:sz="0" w:space="0" w:color="auto"/>
        <w:left w:val="none" w:sz="0" w:space="0" w:color="auto"/>
        <w:bottom w:val="none" w:sz="0" w:space="0" w:color="auto"/>
        <w:right w:val="none" w:sz="0" w:space="0" w:color="auto"/>
      </w:divBdr>
    </w:div>
    <w:div w:id="1805807324">
      <w:bodyDiv w:val="1"/>
      <w:marLeft w:val="0"/>
      <w:marRight w:val="0"/>
      <w:marTop w:val="0"/>
      <w:marBottom w:val="0"/>
      <w:divBdr>
        <w:top w:val="none" w:sz="0" w:space="0" w:color="auto"/>
        <w:left w:val="none" w:sz="0" w:space="0" w:color="auto"/>
        <w:bottom w:val="none" w:sz="0" w:space="0" w:color="auto"/>
        <w:right w:val="none" w:sz="0" w:space="0" w:color="auto"/>
      </w:divBdr>
    </w:div>
    <w:div w:id="1907296627">
      <w:bodyDiv w:val="1"/>
      <w:marLeft w:val="0"/>
      <w:marRight w:val="0"/>
      <w:marTop w:val="0"/>
      <w:marBottom w:val="0"/>
      <w:divBdr>
        <w:top w:val="none" w:sz="0" w:space="0" w:color="auto"/>
        <w:left w:val="none" w:sz="0" w:space="0" w:color="auto"/>
        <w:bottom w:val="none" w:sz="0" w:space="0" w:color="auto"/>
        <w:right w:val="none" w:sz="0" w:space="0" w:color="auto"/>
      </w:divBdr>
    </w:div>
    <w:div w:id="1975601131">
      <w:bodyDiv w:val="1"/>
      <w:marLeft w:val="0"/>
      <w:marRight w:val="0"/>
      <w:marTop w:val="0"/>
      <w:marBottom w:val="0"/>
      <w:divBdr>
        <w:top w:val="none" w:sz="0" w:space="0" w:color="auto"/>
        <w:left w:val="none" w:sz="0" w:space="0" w:color="auto"/>
        <w:bottom w:val="none" w:sz="0" w:space="0" w:color="auto"/>
        <w:right w:val="none" w:sz="0" w:space="0" w:color="auto"/>
      </w:divBdr>
    </w:div>
    <w:div w:id="2028477489">
      <w:bodyDiv w:val="1"/>
      <w:marLeft w:val="0"/>
      <w:marRight w:val="0"/>
      <w:marTop w:val="0"/>
      <w:marBottom w:val="0"/>
      <w:divBdr>
        <w:top w:val="none" w:sz="0" w:space="0" w:color="auto"/>
        <w:left w:val="none" w:sz="0" w:space="0" w:color="auto"/>
        <w:bottom w:val="none" w:sz="0" w:space="0" w:color="auto"/>
        <w:right w:val="none" w:sz="0" w:space="0" w:color="auto"/>
      </w:divBdr>
    </w:div>
    <w:div w:id="2031251679">
      <w:bodyDiv w:val="1"/>
      <w:marLeft w:val="0"/>
      <w:marRight w:val="0"/>
      <w:marTop w:val="0"/>
      <w:marBottom w:val="0"/>
      <w:divBdr>
        <w:top w:val="none" w:sz="0" w:space="0" w:color="auto"/>
        <w:left w:val="none" w:sz="0" w:space="0" w:color="auto"/>
        <w:bottom w:val="none" w:sz="0" w:space="0" w:color="auto"/>
        <w:right w:val="none" w:sz="0" w:space="0" w:color="auto"/>
      </w:divBdr>
    </w:div>
    <w:div w:id="2059087895">
      <w:bodyDiv w:val="1"/>
      <w:marLeft w:val="0"/>
      <w:marRight w:val="0"/>
      <w:marTop w:val="0"/>
      <w:marBottom w:val="0"/>
      <w:divBdr>
        <w:top w:val="none" w:sz="0" w:space="0" w:color="auto"/>
        <w:left w:val="none" w:sz="0" w:space="0" w:color="auto"/>
        <w:bottom w:val="none" w:sz="0" w:space="0" w:color="auto"/>
        <w:right w:val="none" w:sz="0" w:space="0" w:color="auto"/>
      </w:divBdr>
    </w:div>
    <w:div w:id="2072456823">
      <w:bodyDiv w:val="1"/>
      <w:marLeft w:val="0"/>
      <w:marRight w:val="0"/>
      <w:marTop w:val="0"/>
      <w:marBottom w:val="0"/>
      <w:divBdr>
        <w:top w:val="none" w:sz="0" w:space="0" w:color="auto"/>
        <w:left w:val="none" w:sz="0" w:space="0" w:color="auto"/>
        <w:bottom w:val="none" w:sz="0" w:space="0" w:color="auto"/>
        <w:right w:val="none" w:sz="0" w:space="0" w:color="auto"/>
      </w:divBdr>
    </w:div>
    <w:div w:id="2120367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png"/><Relationship Id="rId21" Type="http://schemas.openxmlformats.org/officeDocument/2006/relationships/image" Target="media/image10.png"/><Relationship Id="rId42" Type="http://schemas.openxmlformats.org/officeDocument/2006/relationships/oleObject" Target="embeddings/oleObject15.bin"/><Relationship Id="rId63" Type="http://schemas.openxmlformats.org/officeDocument/2006/relationships/image" Target="media/image31.png"/><Relationship Id="rId84" Type="http://schemas.openxmlformats.org/officeDocument/2006/relationships/oleObject" Target="embeddings/oleObject36.bin"/><Relationship Id="rId138" Type="http://schemas.openxmlformats.org/officeDocument/2006/relationships/hyperlink" Target="https://doi.org/10.1016/S0003-2670(02)01643-4" TargetMode="External"/><Relationship Id="rId107" Type="http://schemas.openxmlformats.org/officeDocument/2006/relationships/image" Target="media/image53.png"/><Relationship Id="rId11" Type="http://schemas.openxmlformats.org/officeDocument/2006/relationships/image" Target="media/image4.png"/><Relationship Id="rId32" Type="http://schemas.openxmlformats.org/officeDocument/2006/relationships/oleObject" Target="embeddings/oleObject10.bin"/><Relationship Id="rId53" Type="http://schemas.openxmlformats.org/officeDocument/2006/relationships/image" Target="media/image26.png"/><Relationship Id="rId74" Type="http://schemas.openxmlformats.org/officeDocument/2006/relationships/oleObject" Target="embeddings/oleObject31.bin"/><Relationship Id="rId128" Type="http://schemas.openxmlformats.org/officeDocument/2006/relationships/hyperlink" Target="https://www.nature.com/articles/s41597-020-0462-2" TargetMode="External"/><Relationship Id="rId149" Type="http://schemas.openxmlformats.org/officeDocument/2006/relationships/hyperlink" Target="http://cires.colorado.edu/jimenez-group/AMSsd/" TargetMode="External"/><Relationship Id="rId5" Type="http://schemas.openxmlformats.org/officeDocument/2006/relationships/webSettings" Target="webSettings.xml"/><Relationship Id="rId95" Type="http://schemas.openxmlformats.org/officeDocument/2006/relationships/image" Target="media/image47.png"/><Relationship Id="rId22" Type="http://schemas.openxmlformats.org/officeDocument/2006/relationships/oleObject" Target="embeddings/oleObject5.bin"/><Relationship Id="rId43" Type="http://schemas.openxmlformats.org/officeDocument/2006/relationships/image" Target="media/image21.png"/><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hyperlink" Target="http://doi.wiley.com/10.1002/cem.1197" TargetMode="External"/><Relationship Id="rId80" Type="http://schemas.openxmlformats.org/officeDocument/2006/relationships/oleObject" Target="embeddings/oleObject34.bin"/><Relationship Id="rId85" Type="http://schemas.openxmlformats.org/officeDocument/2006/relationships/image" Target="media/image42.png"/><Relationship Id="rId150" Type="http://schemas.openxmlformats.org/officeDocument/2006/relationships/hyperlink" Target="http://cires.colorado.edu/jimenez-group/HRAMSsd/" TargetMode="External"/><Relationship Id="rId155" Type="http://schemas.openxmlformats.org/officeDocument/2006/relationships/hyperlink" Target="https://amt.copernicus.org/articles/11/1049/2018/" TargetMode="External"/><Relationship Id="rId12" Type="http://schemas.openxmlformats.org/officeDocument/2006/relationships/image" Target="media/image5.png"/><Relationship Id="rId17"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oleObject" Target="embeddings/oleObject13.bin"/><Relationship Id="rId59" Type="http://schemas.openxmlformats.org/officeDocument/2006/relationships/image" Target="media/image29.png"/><Relationship Id="rId103" Type="http://schemas.openxmlformats.org/officeDocument/2006/relationships/image" Target="media/image51.png"/><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hyperlink" Target="https://amt.copernicus.org/articles/8/2555/2015/" TargetMode="External"/><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7.png"/><Relationship Id="rId91" Type="http://schemas.openxmlformats.org/officeDocument/2006/relationships/image" Target="media/image45.png"/><Relationship Id="rId96" Type="http://schemas.openxmlformats.org/officeDocument/2006/relationships/oleObject" Target="embeddings/oleObject42.bin"/><Relationship Id="rId140" Type="http://schemas.openxmlformats.org/officeDocument/2006/relationships/hyperlink" Target="https://amt.copernicus.org/articles/7/781/2014/" TargetMode="External"/><Relationship Id="rId145" Type="http://schemas.openxmlformats.org/officeDocument/2006/relationships/hyperlink" Target="https://acp.copernicus.org/articles/16/8831/2016/"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oleObject" Target="embeddings/oleObject8.bin"/><Relationship Id="rId49" Type="http://schemas.openxmlformats.org/officeDocument/2006/relationships/image" Target="media/image24.png"/><Relationship Id="rId114" Type="http://schemas.openxmlformats.org/officeDocument/2006/relationships/oleObject" Target="embeddings/oleObject51.bin"/><Relationship Id="rId119" Type="http://schemas.openxmlformats.org/officeDocument/2006/relationships/image" Target="media/image59.png"/><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2.png"/><Relationship Id="rId81" Type="http://schemas.openxmlformats.org/officeDocument/2006/relationships/image" Target="media/image40.png"/><Relationship Id="rId86" Type="http://schemas.openxmlformats.org/officeDocument/2006/relationships/oleObject" Target="embeddings/oleObject37.bin"/><Relationship Id="rId130" Type="http://schemas.openxmlformats.org/officeDocument/2006/relationships/hyperlink" Target="https://doi.org/10.5194/acp-19-6843-2019" TargetMode="External"/><Relationship Id="rId135" Type="http://schemas.openxmlformats.org/officeDocument/2006/relationships/hyperlink" Target="http://www.tandfonline.com/doi/abs/10.1080/02786826.2011.560211" TargetMode="External"/><Relationship Id="rId151" Type="http://schemas.openxmlformats.org/officeDocument/2006/relationships/hyperlink" Target="http://www.stats.ox.ac.uk/pub/MASS4" TargetMode="External"/><Relationship Id="rId156"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oleObject" Target="embeddings/oleObject3.bin"/><Relationship Id="rId39" Type="http://schemas.openxmlformats.org/officeDocument/2006/relationships/image" Target="media/image19.png"/><Relationship Id="rId109" Type="http://schemas.openxmlformats.org/officeDocument/2006/relationships/image" Target="media/image54.png"/><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7.png"/><Relationship Id="rId76" Type="http://schemas.openxmlformats.org/officeDocument/2006/relationships/oleObject" Target="embeddings/oleObject32.bin"/><Relationship Id="rId97" Type="http://schemas.openxmlformats.org/officeDocument/2006/relationships/image" Target="media/image48.png"/><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hyperlink" Target="https://acp.copernicus.org/articles/20/735/2020/" TargetMode="External"/><Relationship Id="rId141" Type="http://schemas.openxmlformats.org/officeDocument/2006/relationships/hyperlink" Target="https://www.tandfonline.com/doi/abs/10.1081/ETC-120028836" TargetMode="External"/><Relationship Id="rId146" Type="http://schemas.openxmlformats.org/officeDocument/2006/relationships/hyperlink" Target="https://onlinelibrary.wiley.com/doi/abs/10.1029/2018JD029352" TargetMode="External"/><Relationship Id="rId7" Type="http://schemas.openxmlformats.org/officeDocument/2006/relationships/endnotes" Target="endnotes.xml"/><Relationship Id="rId71" Type="http://schemas.openxmlformats.org/officeDocument/2006/relationships/image" Target="media/image35.png"/><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2.png"/><Relationship Id="rId66" Type="http://schemas.openxmlformats.org/officeDocument/2006/relationships/oleObject" Target="embeddings/oleObject27.bin"/><Relationship Id="rId87" Type="http://schemas.openxmlformats.org/officeDocument/2006/relationships/image" Target="media/image43.png"/><Relationship Id="rId110" Type="http://schemas.openxmlformats.org/officeDocument/2006/relationships/oleObject" Target="embeddings/oleObject49.bin"/><Relationship Id="rId115" Type="http://schemas.openxmlformats.org/officeDocument/2006/relationships/image" Target="media/image57.png"/><Relationship Id="rId131" Type="http://schemas.openxmlformats.org/officeDocument/2006/relationships/hyperlink" Target="http://www.jstatsoft.org/v40/i03/" TargetMode="External"/><Relationship Id="rId136" Type="http://schemas.openxmlformats.org/officeDocument/2006/relationships/hyperlink" Target="https://www.epa.gov/air-research/epa-positive-matrix-factorization-50-fundamentals-and-user-guide" TargetMode="External"/><Relationship Id="rId157" Type="http://schemas.openxmlformats.org/officeDocument/2006/relationships/fontTable" Target="fontTable.xml"/><Relationship Id="rId61" Type="http://schemas.openxmlformats.org/officeDocument/2006/relationships/image" Target="media/image30.png"/><Relationship Id="rId82" Type="http://schemas.openxmlformats.org/officeDocument/2006/relationships/oleObject" Target="embeddings/oleObject35.bin"/><Relationship Id="rId152" Type="http://schemas.openxmlformats.org/officeDocument/2006/relationships/hyperlink" Target="https://doi.org/10.1021/es2013984" TargetMode="External"/><Relationship Id="rId19" Type="http://schemas.openxmlformats.org/officeDocument/2006/relationships/image" Target="media/image9.png"/><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7.png"/><Relationship Id="rId56" Type="http://schemas.openxmlformats.org/officeDocument/2006/relationships/oleObject" Target="embeddings/oleObject22.bin"/><Relationship Id="rId77" Type="http://schemas.openxmlformats.org/officeDocument/2006/relationships/image" Target="media/image38.png"/><Relationship Id="rId100" Type="http://schemas.openxmlformats.org/officeDocument/2006/relationships/oleObject" Target="embeddings/oleObject44.bin"/><Relationship Id="rId105" Type="http://schemas.openxmlformats.org/officeDocument/2006/relationships/image" Target="media/image52.png"/><Relationship Id="rId126" Type="http://schemas.openxmlformats.org/officeDocument/2006/relationships/hyperlink" Target="https://acp.copernicus.org/articles/15/6993/2015/" TargetMode="External"/><Relationship Id="rId147" Type="http://schemas.openxmlformats.org/officeDocument/2006/relationships/hyperlink" Target="https://doi.org/10.1016/j.scitotenv.2020.140924" TargetMode="External"/><Relationship Id="rId8" Type="http://schemas.openxmlformats.org/officeDocument/2006/relationships/image" Target="media/image1.jpeg"/><Relationship Id="rId51" Type="http://schemas.openxmlformats.org/officeDocument/2006/relationships/image" Target="media/image25.png"/><Relationship Id="rId72" Type="http://schemas.openxmlformats.org/officeDocument/2006/relationships/oleObject" Target="embeddings/oleObject30.bin"/><Relationship Id="rId93" Type="http://schemas.openxmlformats.org/officeDocument/2006/relationships/image" Target="media/image46.png"/><Relationship Id="rId98" Type="http://schemas.openxmlformats.org/officeDocument/2006/relationships/oleObject" Target="embeddings/oleObject43.bin"/><Relationship Id="rId121" Type="http://schemas.openxmlformats.org/officeDocument/2006/relationships/image" Target="media/image60.png"/><Relationship Id="rId142" Type="http://schemas.openxmlformats.org/officeDocument/2006/relationships/hyperlink" Target="https://doi.org/10.1080/07474930802459016" TargetMode="Externa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oleObject" Target="embeddings/oleObject17.bin"/><Relationship Id="rId67" Type="http://schemas.openxmlformats.org/officeDocument/2006/relationships/image" Target="media/image33.png"/><Relationship Id="rId116" Type="http://schemas.openxmlformats.org/officeDocument/2006/relationships/oleObject" Target="embeddings/oleObject52.bin"/><Relationship Id="rId137" Type="http://schemas.openxmlformats.org/officeDocument/2006/relationships/hyperlink" Target="https://doi.org/10.1002/2014JD022970" TargetMode="External"/><Relationship Id="rId15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20.png"/><Relationship Id="rId62" Type="http://schemas.openxmlformats.org/officeDocument/2006/relationships/oleObject" Target="embeddings/oleObject25.bin"/><Relationship Id="rId83" Type="http://schemas.openxmlformats.org/officeDocument/2006/relationships/image" Target="media/image41.png"/><Relationship Id="rId88" Type="http://schemas.openxmlformats.org/officeDocument/2006/relationships/oleObject" Target="embeddings/oleObject38.bin"/><Relationship Id="rId111" Type="http://schemas.openxmlformats.org/officeDocument/2006/relationships/image" Target="media/image55.png"/><Relationship Id="rId132" Type="http://schemas.openxmlformats.org/officeDocument/2006/relationships/hyperlink" Target="http://www.jstatsoft.org/v27/i05/" TargetMode="External"/><Relationship Id="rId153" Type="http://schemas.openxmlformats.org/officeDocument/2006/relationships/hyperlink" Target="https://joss.theoj.org/papers/10.21105/joss.01686" TargetMode="External"/><Relationship Id="rId15" Type="http://schemas.openxmlformats.org/officeDocument/2006/relationships/image" Target="media/image7.png"/><Relationship Id="rId36" Type="http://schemas.openxmlformats.org/officeDocument/2006/relationships/oleObject" Target="embeddings/oleObject12.bin"/><Relationship Id="rId57" Type="http://schemas.openxmlformats.org/officeDocument/2006/relationships/image" Target="media/image28.png"/><Relationship Id="rId106" Type="http://schemas.openxmlformats.org/officeDocument/2006/relationships/oleObject" Target="embeddings/oleObject47.bin"/><Relationship Id="rId127" Type="http://schemas.openxmlformats.org/officeDocument/2006/relationships/hyperlink" Target="https://doi.org/10.1016/j.envsoft.2011.09.008" TargetMode="External"/><Relationship Id="rId10" Type="http://schemas.openxmlformats.org/officeDocument/2006/relationships/image" Target="media/image3.png"/><Relationship Id="rId31" Type="http://schemas.openxmlformats.org/officeDocument/2006/relationships/image" Target="media/image15.png"/><Relationship Id="rId52" Type="http://schemas.openxmlformats.org/officeDocument/2006/relationships/oleObject" Target="embeddings/oleObject20.bin"/><Relationship Id="rId73" Type="http://schemas.openxmlformats.org/officeDocument/2006/relationships/image" Target="media/image36.png"/><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9.png"/><Relationship Id="rId101" Type="http://schemas.openxmlformats.org/officeDocument/2006/relationships/image" Target="media/image50.png"/><Relationship Id="rId122" Type="http://schemas.openxmlformats.org/officeDocument/2006/relationships/oleObject" Target="embeddings/oleObject55.bin"/><Relationship Id="rId143" Type="http://schemas.openxmlformats.org/officeDocument/2006/relationships/hyperlink" Target="https://www.R-project.org/" TargetMode="External"/><Relationship Id="rId148" Type="http://schemas.openxmlformats.org/officeDocument/2006/relationships/hyperlink" Target="https://doi.org/10.5194/acp-9-2891-2009"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oleObject" Target="embeddings/oleObject7.bin"/><Relationship Id="rId47" Type="http://schemas.openxmlformats.org/officeDocument/2006/relationships/image" Target="media/image23.png"/><Relationship Id="rId68" Type="http://schemas.openxmlformats.org/officeDocument/2006/relationships/oleObject" Target="embeddings/oleObject28.bin"/><Relationship Id="rId89" Type="http://schemas.openxmlformats.org/officeDocument/2006/relationships/image" Target="media/image44.png"/><Relationship Id="rId112" Type="http://schemas.openxmlformats.org/officeDocument/2006/relationships/oleObject" Target="embeddings/oleObject50.bin"/><Relationship Id="rId133" Type="http://schemas.openxmlformats.org/officeDocument/2006/relationships/hyperlink" Target="https://acp.copernicus.org/articles/9/497/2009/" TargetMode="External"/><Relationship Id="rId154" Type="http://schemas.openxmlformats.org/officeDocument/2006/relationships/hyperlink" Target="https://link.springer.com/article/10.1007/s00216-011-5355-y" TargetMode="External"/><Relationship Id="rId16" Type="http://schemas.openxmlformats.org/officeDocument/2006/relationships/oleObject" Target="embeddings/oleObject2.bin"/><Relationship Id="rId37" Type="http://schemas.openxmlformats.org/officeDocument/2006/relationships/image" Target="media/image18.png"/><Relationship Id="rId58" Type="http://schemas.openxmlformats.org/officeDocument/2006/relationships/oleObject" Target="embeddings/oleObject23.bin"/><Relationship Id="rId79" Type="http://schemas.openxmlformats.org/officeDocument/2006/relationships/image" Target="media/image39.png"/><Relationship Id="rId102" Type="http://schemas.openxmlformats.org/officeDocument/2006/relationships/oleObject" Target="embeddings/oleObject45.bin"/><Relationship Id="rId123" Type="http://schemas.openxmlformats.org/officeDocument/2006/relationships/image" Target="media/image61.png"/><Relationship Id="rId144" Type="http://schemas.openxmlformats.org/officeDocument/2006/relationships/hyperlink" Target="https://doi.org/10.1021/es702253m" TargetMode="External"/><Relationship Id="rId90" Type="http://schemas.openxmlformats.org/officeDocument/2006/relationships/oleObject" Target="embeddings/oleObject39.bin"/><Relationship Id="rId27" Type="http://schemas.openxmlformats.org/officeDocument/2006/relationships/image" Target="media/image13.png"/><Relationship Id="rId48" Type="http://schemas.openxmlformats.org/officeDocument/2006/relationships/oleObject" Target="embeddings/oleObject18.bin"/><Relationship Id="rId69" Type="http://schemas.openxmlformats.org/officeDocument/2006/relationships/image" Target="media/image34.png"/><Relationship Id="rId113" Type="http://schemas.openxmlformats.org/officeDocument/2006/relationships/image" Target="media/image56.png"/><Relationship Id="rId134" Type="http://schemas.openxmlformats.org/officeDocument/2006/relationships/hyperlink" Target="https://science.sciencemag.org/content/326/5959/152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DF76AC-0E40-4C89-86A2-BBCA14B68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205</TotalTime>
  <Pages>46</Pages>
  <Words>7675</Words>
  <Characters>43750</Characters>
  <Application>Microsoft Office Word</Application>
  <DocSecurity>0</DocSecurity>
  <Lines>364</Lines>
  <Paragraphs>102</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Blank</vt:lpstr>
      <vt:lpstr>Additional Information for Proof of Concept for the Time-of-day PMF Approach</vt:lpstr>
      <vt:lpstr>    S1 Steps for conducting PMF, criteria for factor selection, and R code</vt:lpstr>
      <vt:lpstr>    S2 Corrections to the EPA PMF code</vt:lpstr>
      <vt:lpstr>    S3 Detailed 15 min time series patterns of seasonal PMF factors at lunch and nig</vt:lpstr>
      <vt:lpstr>    S4 Details of time-of-day PMF oxidized organic aerosol MS and TS</vt:lpstr>
      <vt:lpstr>        S4.1 Time series patterns of secondary PM</vt:lpstr>
      <vt:lpstr>        S4.2 Mass spectral features of secondary factors</vt:lpstr>
      <vt:lpstr>    S5 References</vt:lpstr>
    </vt:vector>
  </TitlesOfParts>
  <Company>Copernicus Gesellschaft mbH</Company>
  <LinksUpToDate>false</LinksUpToDate>
  <CharactersWithSpaces>51323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Bhandari, Sahil</cp:lastModifiedBy>
  <cp:revision>36</cp:revision>
  <cp:lastPrinted>2016-02-01T07:21:00Z</cp:lastPrinted>
  <dcterms:created xsi:type="dcterms:W3CDTF">2022-01-14T21:49:00Z</dcterms:created>
  <dcterms:modified xsi:type="dcterms:W3CDTF">2022-03-15T09:49:00Z</dcterms:modified>
</cp:coreProperties>
</file>