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994B11" w14:textId="15817D02" w:rsidR="00BE2637" w:rsidRPr="0010795F" w:rsidRDefault="00E96139" w:rsidP="00BD2687">
      <w:pPr>
        <w:pStyle w:val="a3"/>
        <w:snapToGrid w:val="0"/>
        <w:spacing w:beforeLines="50" w:before="211"/>
        <w:rPr>
          <w:rFonts w:ascii="Arial" w:hAnsi="Arial" w:cs="Arial"/>
          <w:sz w:val="18"/>
          <w:szCs w:val="18"/>
        </w:rPr>
      </w:pPr>
      <w:r w:rsidRPr="0010795F">
        <w:rPr>
          <w:rFonts w:ascii="Arial" w:hAnsi="Arial" w:cs="Arial"/>
          <w:sz w:val="18"/>
          <w:szCs w:val="18"/>
        </w:rPr>
        <w:t xml:space="preserve">Response to Reviewer </w:t>
      </w:r>
      <w:r w:rsidR="00265EB0" w:rsidRPr="0010795F">
        <w:rPr>
          <w:rFonts w:ascii="Arial" w:hAnsi="Arial" w:cs="Arial"/>
          <w:sz w:val="18"/>
          <w:szCs w:val="18"/>
        </w:rPr>
        <w:t>2</w:t>
      </w:r>
    </w:p>
    <w:p w14:paraId="72E1BF3D" w14:textId="0A63EEF8" w:rsidR="00E96139" w:rsidRPr="0010795F" w:rsidRDefault="00E96139" w:rsidP="00265EB0">
      <w:pPr>
        <w:snapToGrid w:val="0"/>
        <w:spacing w:beforeLines="50" w:before="211"/>
        <w:rPr>
          <w:rFonts w:ascii="Arial" w:hAnsi="Arial" w:cs="Arial"/>
          <w:sz w:val="18"/>
          <w:szCs w:val="18"/>
        </w:rPr>
      </w:pPr>
      <w:r w:rsidRPr="0010795F">
        <w:rPr>
          <w:rFonts w:ascii="Arial" w:hAnsi="Arial" w:cs="Arial"/>
          <w:b/>
          <w:sz w:val="18"/>
          <w:szCs w:val="18"/>
        </w:rPr>
        <w:t xml:space="preserve">Question 1: </w:t>
      </w:r>
      <w:r w:rsidR="00265EB0" w:rsidRPr="0010795F">
        <w:rPr>
          <w:rFonts w:ascii="Arial" w:hAnsi="Arial" w:cs="Arial"/>
          <w:sz w:val="18"/>
          <w:szCs w:val="18"/>
        </w:rPr>
        <w:t>Precipitation Dataset Clarification (Line 110): The manuscript mentions that the precipitation dataset was manually extracted. However, it is unclear why this was necessary, especially since the algorithm is intended to work under both clear-sky and rainy conditions. If the algorithm is designed to perform differently depending on weather conditions, this distinction should be clearly stated and justified in the paper.</w:t>
      </w:r>
    </w:p>
    <w:p w14:paraId="0F3DE445" w14:textId="14EBE427" w:rsidR="00985752" w:rsidRPr="0010795F" w:rsidRDefault="00985752" w:rsidP="00985752">
      <w:pPr>
        <w:snapToGrid w:val="0"/>
        <w:spacing w:beforeLines="50" w:before="211"/>
        <w:rPr>
          <w:rFonts w:ascii="Arial" w:hAnsi="Arial" w:cs="Arial"/>
          <w:color w:val="2E74B5" w:themeColor="accent5" w:themeShade="BF"/>
          <w:sz w:val="18"/>
          <w:szCs w:val="18"/>
        </w:rPr>
      </w:pPr>
      <w:r w:rsidRPr="0010795F">
        <w:rPr>
          <w:rFonts w:ascii="Arial" w:hAnsi="Arial" w:cs="Arial"/>
          <w:color w:val="2E74B5" w:themeColor="accent5" w:themeShade="BF"/>
          <w:sz w:val="18"/>
          <w:szCs w:val="18"/>
        </w:rPr>
        <w:t xml:space="preserve">Weather radars are primarily used to observe precipitation echoes. However, in addition to precipitation, they also detect non-meteorological echoes such as ground clutter, biological echoes, and ship clutter, which is the focus of this study. These non-meteorological echoes can interfere with the observation and application of precipitation data, and therefore often need to be removed. As mentioned in </w:t>
      </w:r>
      <w:r w:rsidRPr="0010795F">
        <w:rPr>
          <w:rFonts w:ascii="Arial" w:hAnsi="Arial" w:cs="Arial" w:hint="eastAsia"/>
          <w:color w:val="2E74B5" w:themeColor="accent5" w:themeShade="BF"/>
          <w:sz w:val="18"/>
          <w:szCs w:val="18"/>
        </w:rPr>
        <w:t>Introduction</w:t>
      </w:r>
      <w:r w:rsidRPr="0010795F">
        <w:rPr>
          <w:rFonts w:ascii="Arial" w:hAnsi="Arial" w:cs="Arial"/>
          <w:color w:val="2E74B5" w:themeColor="accent5" w:themeShade="BF"/>
          <w:sz w:val="18"/>
          <w:szCs w:val="18"/>
        </w:rPr>
        <w:t>, ground clutter and biological echoes are common types of non-meteorological echoes, and mature techniques have already been developed to suppress them effectively. In contrast, ship clutter is a less studied type of non-meteorological echo, and suppression methods for it have not yet been established—this is the primary research focus of our study.</w:t>
      </w:r>
    </w:p>
    <w:p w14:paraId="224FF306" w14:textId="20A82752" w:rsidR="00985752" w:rsidRPr="0010795F" w:rsidRDefault="00985752" w:rsidP="00985752">
      <w:pPr>
        <w:snapToGrid w:val="0"/>
        <w:spacing w:beforeLines="50" w:before="211"/>
        <w:rPr>
          <w:rFonts w:ascii="Arial" w:hAnsi="Arial" w:cs="Arial"/>
          <w:color w:val="2E74B5" w:themeColor="accent5" w:themeShade="BF"/>
          <w:sz w:val="18"/>
          <w:szCs w:val="18"/>
        </w:rPr>
      </w:pPr>
      <w:r w:rsidRPr="0010795F">
        <w:rPr>
          <w:rFonts w:ascii="Arial" w:hAnsi="Arial" w:cs="Arial"/>
          <w:color w:val="2E74B5" w:themeColor="accent5" w:themeShade="BF"/>
          <w:sz w:val="18"/>
          <w:szCs w:val="18"/>
        </w:rPr>
        <w:t>Given that ground clutter and biological echoes can be effectively suppressed, we assume they have minimal or negligible impact on our research. Therefore, the classification task in this study is simplified to a binary classification problem between ship clutter and precipitation echoes, which is a common practice in the weather radar field (</w:t>
      </w:r>
      <w:proofErr w:type="spellStart"/>
      <w:r w:rsidRPr="0010795F">
        <w:rPr>
          <w:rFonts w:ascii="Arial" w:hAnsi="Arial" w:cs="Arial"/>
          <w:color w:val="2E74B5" w:themeColor="accent5" w:themeShade="BF"/>
          <w:sz w:val="18"/>
          <w:szCs w:val="18"/>
        </w:rPr>
        <w:t>Kilambi</w:t>
      </w:r>
      <w:proofErr w:type="spellEnd"/>
      <w:r w:rsidRPr="0010795F">
        <w:rPr>
          <w:rFonts w:ascii="Arial" w:hAnsi="Arial" w:cs="Arial"/>
          <w:color w:val="2E74B5" w:themeColor="accent5" w:themeShade="BF"/>
          <w:sz w:val="18"/>
          <w:szCs w:val="18"/>
        </w:rPr>
        <w:t xml:space="preserve"> et al., 2018; </w:t>
      </w:r>
      <w:r w:rsidR="008000BF" w:rsidRPr="0010795F">
        <w:rPr>
          <w:rFonts w:ascii="Arial" w:hAnsi="Arial" w:cs="Arial"/>
          <w:color w:val="2E74B5" w:themeColor="accent5" w:themeShade="BF"/>
          <w:sz w:val="18"/>
          <w:szCs w:val="18"/>
        </w:rPr>
        <w:t>Hubbert et al., 2009</w:t>
      </w:r>
      <w:r w:rsidRPr="0010795F">
        <w:rPr>
          <w:rFonts w:ascii="Arial" w:hAnsi="Arial" w:cs="Arial"/>
          <w:color w:val="2E74B5" w:themeColor="accent5" w:themeShade="BF"/>
          <w:sz w:val="18"/>
          <w:szCs w:val="18"/>
        </w:rPr>
        <w:t>).</w:t>
      </w:r>
    </w:p>
    <w:p w14:paraId="5419FE0C" w14:textId="2CCD20CD" w:rsidR="00985752" w:rsidRPr="0010795F" w:rsidRDefault="00985752" w:rsidP="00985752">
      <w:pPr>
        <w:snapToGrid w:val="0"/>
        <w:spacing w:beforeLines="50" w:before="211"/>
        <w:rPr>
          <w:rFonts w:ascii="Arial" w:hAnsi="Arial" w:cs="Arial"/>
          <w:color w:val="2E74B5" w:themeColor="accent5" w:themeShade="BF"/>
          <w:sz w:val="18"/>
          <w:szCs w:val="18"/>
        </w:rPr>
      </w:pPr>
      <w:r w:rsidRPr="0010795F">
        <w:rPr>
          <w:rFonts w:ascii="Arial" w:hAnsi="Arial" w:cs="Arial"/>
          <w:color w:val="2E74B5" w:themeColor="accent5" w:themeShade="BF"/>
          <w:sz w:val="18"/>
          <w:szCs w:val="18"/>
        </w:rPr>
        <w:t xml:space="preserve">When applying machine learning to solve a binary classification problem, it is necessary to identify features that can distinguish between the two classes and train a model to learn the feature distribution of each. This process requires a large amount of labeled data (i.e., with known ground truth), which explains why manual extraction of precipitation data is needed. In short, the reason for manually extracting precipitation data is not because the algorithm depends on specific weather conditions, but because the problem is formulated as a binary classification task, which requires a dataset for model training. Further clarification on this point has been added in </w:t>
      </w:r>
      <w:r w:rsidR="0010795F">
        <w:rPr>
          <w:rFonts w:ascii="Arial" w:hAnsi="Arial" w:cs="Arial"/>
          <w:color w:val="2E74B5" w:themeColor="accent5" w:themeShade="BF"/>
          <w:sz w:val="18"/>
          <w:szCs w:val="18"/>
        </w:rPr>
        <w:t>Introduction</w:t>
      </w:r>
      <w:r w:rsidRPr="0010795F">
        <w:rPr>
          <w:rFonts w:ascii="Arial" w:hAnsi="Arial" w:cs="Arial"/>
          <w:color w:val="2E74B5" w:themeColor="accent5" w:themeShade="BF"/>
          <w:sz w:val="18"/>
          <w:szCs w:val="18"/>
        </w:rPr>
        <w:t xml:space="preserve"> of the manuscript</w:t>
      </w:r>
      <w:r w:rsidR="008000BF" w:rsidRPr="0010795F">
        <w:rPr>
          <w:rFonts w:ascii="Arial" w:hAnsi="Arial" w:cs="Arial"/>
          <w:color w:val="2E74B5" w:themeColor="accent5" w:themeShade="BF"/>
          <w:sz w:val="18"/>
          <w:szCs w:val="18"/>
        </w:rPr>
        <w:t xml:space="preserve"> (</w:t>
      </w:r>
      <w:r w:rsidR="00B919AF">
        <w:rPr>
          <w:rFonts w:ascii="Arial" w:hAnsi="Arial" w:cs="Arial"/>
          <w:color w:val="2E74B5" w:themeColor="accent5" w:themeShade="BF"/>
          <w:sz w:val="18"/>
          <w:szCs w:val="18"/>
        </w:rPr>
        <w:t xml:space="preserve">Line 83; </w:t>
      </w:r>
      <w:r w:rsidR="008000BF" w:rsidRPr="0010795F">
        <w:rPr>
          <w:rFonts w:ascii="Arial" w:hAnsi="Arial" w:cs="Arial"/>
          <w:color w:val="2E74B5" w:themeColor="accent5" w:themeShade="BF"/>
          <w:sz w:val="18"/>
          <w:szCs w:val="18"/>
        </w:rPr>
        <w:t>highlighted content)</w:t>
      </w:r>
      <w:r w:rsidRPr="0010795F">
        <w:rPr>
          <w:rFonts w:ascii="Arial" w:hAnsi="Arial" w:cs="Arial"/>
          <w:color w:val="2E74B5" w:themeColor="accent5" w:themeShade="BF"/>
          <w:sz w:val="18"/>
          <w:szCs w:val="18"/>
        </w:rPr>
        <w:t>.</w:t>
      </w:r>
    </w:p>
    <w:p w14:paraId="6817A6FA" w14:textId="2D48480F" w:rsidR="008000BF" w:rsidRPr="0010795F" w:rsidRDefault="008000BF" w:rsidP="00985752">
      <w:pPr>
        <w:snapToGrid w:val="0"/>
        <w:spacing w:beforeLines="50" w:before="211"/>
        <w:rPr>
          <w:rFonts w:ascii="Arial" w:hAnsi="Arial" w:cs="Arial"/>
          <w:color w:val="2E74B5" w:themeColor="accent5" w:themeShade="BF"/>
          <w:sz w:val="18"/>
          <w:szCs w:val="18"/>
        </w:rPr>
      </w:pPr>
      <w:r w:rsidRPr="0010795F">
        <w:rPr>
          <w:rFonts w:ascii="Arial" w:hAnsi="Arial" w:cs="Arial"/>
          <w:color w:val="2E74B5" w:themeColor="accent5" w:themeShade="BF"/>
          <w:sz w:val="18"/>
          <w:szCs w:val="18"/>
        </w:rPr>
        <w:t>Hubbert J C, Dixon M, Ellis S M. Weather radar ground clutter. Part II: Real-time identification and filtering[J]. Journal of Atmospheric and Oceanic Technology, 2009, 26(7): 1181-1197.</w:t>
      </w:r>
    </w:p>
    <w:p w14:paraId="57D0C880" w14:textId="00F31C38" w:rsidR="00985752" w:rsidRPr="0010795F" w:rsidRDefault="00985752" w:rsidP="00985752">
      <w:pPr>
        <w:snapToGrid w:val="0"/>
        <w:spacing w:beforeLines="50" w:before="211"/>
        <w:rPr>
          <w:rFonts w:ascii="Arial" w:hAnsi="Arial" w:cs="Arial"/>
          <w:color w:val="2E74B5" w:themeColor="accent5" w:themeShade="BF"/>
          <w:sz w:val="18"/>
          <w:szCs w:val="18"/>
        </w:rPr>
      </w:pPr>
      <w:proofErr w:type="spellStart"/>
      <w:r w:rsidRPr="0010795F">
        <w:rPr>
          <w:rFonts w:ascii="Arial" w:hAnsi="Arial" w:cs="Arial"/>
          <w:color w:val="2E74B5" w:themeColor="accent5" w:themeShade="BF"/>
          <w:sz w:val="18"/>
          <w:szCs w:val="18"/>
        </w:rPr>
        <w:t>Kilambi</w:t>
      </w:r>
      <w:proofErr w:type="spellEnd"/>
      <w:r w:rsidRPr="0010795F">
        <w:rPr>
          <w:rFonts w:ascii="Arial" w:hAnsi="Arial" w:cs="Arial"/>
          <w:color w:val="2E74B5" w:themeColor="accent5" w:themeShade="BF"/>
          <w:sz w:val="18"/>
          <w:szCs w:val="18"/>
        </w:rPr>
        <w:t xml:space="preserve"> A, Fabry F, Meunier V. A simple and effective method for separating meteorological from </w:t>
      </w:r>
      <w:proofErr w:type="spellStart"/>
      <w:r w:rsidRPr="0010795F">
        <w:rPr>
          <w:rFonts w:ascii="Arial" w:hAnsi="Arial" w:cs="Arial"/>
          <w:color w:val="2E74B5" w:themeColor="accent5" w:themeShade="BF"/>
          <w:sz w:val="18"/>
          <w:szCs w:val="18"/>
        </w:rPr>
        <w:t>nonmeteorological</w:t>
      </w:r>
      <w:proofErr w:type="spellEnd"/>
      <w:r w:rsidRPr="0010795F">
        <w:rPr>
          <w:rFonts w:ascii="Arial" w:hAnsi="Arial" w:cs="Arial"/>
          <w:color w:val="2E74B5" w:themeColor="accent5" w:themeShade="BF"/>
          <w:sz w:val="18"/>
          <w:szCs w:val="18"/>
        </w:rPr>
        <w:t xml:space="preserve"> targets using dual-polarization data[J]. Journal of Atmospheric and Oceanic Technology, 2018, 35(7): 1415-1424.</w:t>
      </w:r>
    </w:p>
    <w:p w14:paraId="37E9D035" w14:textId="75FCAE0B" w:rsidR="00A27677" w:rsidRPr="0010795F" w:rsidRDefault="00A27677" w:rsidP="00265EB0">
      <w:pPr>
        <w:snapToGrid w:val="0"/>
        <w:spacing w:beforeLines="50" w:before="211"/>
        <w:rPr>
          <w:rFonts w:ascii="Arial" w:hAnsi="Arial" w:cs="Arial"/>
          <w:sz w:val="18"/>
          <w:szCs w:val="18"/>
        </w:rPr>
      </w:pPr>
      <w:r w:rsidRPr="0010795F">
        <w:rPr>
          <w:rFonts w:ascii="Arial" w:hAnsi="Arial" w:cs="Arial"/>
          <w:b/>
          <w:sz w:val="18"/>
          <w:szCs w:val="18"/>
        </w:rPr>
        <w:t>Question 2:</w:t>
      </w:r>
      <w:r w:rsidRPr="0010795F">
        <w:rPr>
          <w:rFonts w:ascii="Arial" w:hAnsi="Arial" w:cs="Arial"/>
          <w:sz w:val="18"/>
          <w:szCs w:val="18"/>
        </w:rPr>
        <w:t xml:space="preserve"> </w:t>
      </w:r>
      <w:r w:rsidR="00265EB0" w:rsidRPr="0010795F">
        <w:rPr>
          <w:rFonts w:ascii="Arial" w:hAnsi="Arial" w:cs="Arial"/>
          <w:sz w:val="18"/>
          <w:szCs w:val="18"/>
        </w:rPr>
        <w:t xml:space="preserve">Threshold Justification (Line 136): The choice of a 20 </w:t>
      </w:r>
      <w:proofErr w:type="spellStart"/>
      <w:r w:rsidR="00265EB0" w:rsidRPr="0010795F">
        <w:rPr>
          <w:rFonts w:ascii="Arial" w:hAnsi="Arial" w:cs="Arial"/>
          <w:sz w:val="18"/>
          <w:szCs w:val="18"/>
        </w:rPr>
        <w:t>dBZ</w:t>
      </w:r>
      <w:proofErr w:type="spellEnd"/>
      <w:r w:rsidR="00265EB0" w:rsidRPr="0010795F">
        <w:rPr>
          <w:rFonts w:ascii="Arial" w:hAnsi="Arial" w:cs="Arial"/>
          <w:sz w:val="18"/>
          <w:szCs w:val="18"/>
        </w:rPr>
        <w:t xml:space="preserve"> threshold is not explained. Where does this value come from? Additionally, does ship clutter with lower reflectivity (e.g., 15 </w:t>
      </w:r>
      <w:proofErr w:type="spellStart"/>
      <w:r w:rsidR="00265EB0" w:rsidRPr="0010795F">
        <w:rPr>
          <w:rFonts w:ascii="Arial" w:hAnsi="Arial" w:cs="Arial"/>
          <w:sz w:val="18"/>
          <w:szCs w:val="18"/>
        </w:rPr>
        <w:t>dBZ</w:t>
      </w:r>
      <w:proofErr w:type="spellEnd"/>
      <w:r w:rsidR="00265EB0" w:rsidRPr="0010795F">
        <w:rPr>
          <w:rFonts w:ascii="Arial" w:hAnsi="Arial" w:cs="Arial"/>
          <w:sz w:val="18"/>
          <w:szCs w:val="18"/>
        </w:rPr>
        <w:t>) not affect data quality? This requires clarification.</w:t>
      </w:r>
    </w:p>
    <w:p w14:paraId="0D31939D" w14:textId="4E8A6CC4" w:rsidR="00265DF5" w:rsidRDefault="00626C1D" w:rsidP="00626C1D">
      <w:pPr>
        <w:snapToGrid w:val="0"/>
        <w:spacing w:beforeLines="50" w:before="211"/>
        <w:rPr>
          <w:rFonts w:ascii="Arial" w:hAnsi="Arial" w:cs="Arial"/>
          <w:color w:val="2E74B5" w:themeColor="accent5" w:themeShade="BF"/>
          <w:sz w:val="18"/>
          <w:szCs w:val="18"/>
        </w:rPr>
      </w:pPr>
      <w:r w:rsidRPr="0010795F">
        <w:rPr>
          <w:rFonts w:ascii="Arial" w:hAnsi="Arial" w:cs="Arial"/>
          <w:color w:val="2E74B5" w:themeColor="accent5" w:themeShade="BF"/>
          <w:sz w:val="18"/>
          <w:szCs w:val="18"/>
        </w:rPr>
        <w:t xml:space="preserve">For pulse compression radars, in addition to the </w:t>
      </w:r>
      <w:r w:rsidRPr="0010795F">
        <w:rPr>
          <w:rFonts w:ascii="Arial" w:hAnsi="Arial" w:cs="Arial" w:hint="eastAsia"/>
          <w:color w:val="2E74B5" w:themeColor="accent5" w:themeShade="BF"/>
          <w:sz w:val="18"/>
          <w:szCs w:val="18"/>
        </w:rPr>
        <w:t>range</w:t>
      </w:r>
      <w:r w:rsidRPr="0010795F">
        <w:rPr>
          <w:rFonts w:ascii="Arial" w:hAnsi="Arial" w:cs="Arial"/>
          <w:color w:val="2E74B5" w:themeColor="accent5" w:themeShade="BF"/>
          <w:sz w:val="18"/>
          <w:szCs w:val="18"/>
        </w:rPr>
        <w:t xml:space="preserve"> gate of the ship target itself, ship clutter may also be observed in surrounding areas due to range sidelobes and antenna sidelobes. However, due to the inherent sensitivity limitations of radars, weaker sidelobe returns from ship clutter are often undetectable. Taking the high-sensitivity Kumpula radar as an example, the minimum detectable reflectivity at a range of 50 km is approximately -20 </w:t>
      </w:r>
      <w:proofErr w:type="spellStart"/>
      <w:r w:rsidRPr="0010795F">
        <w:rPr>
          <w:rFonts w:ascii="Arial" w:hAnsi="Arial" w:cs="Arial"/>
          <w:color w:val="2E74B5" w:themeColor="accent5" w:themeShade="BF"/>
          <w:sz w:val="18"/>
          <w:szCs w:val="18"/>
        </w:rPr>
        <w:t>dBZ</w:t>
      </w:r>
      <w:proofErr w:type="spellEnd"/>
      <w:r w:rsidRPr="0010795F">
        <w:rPr>
          <w:rFonts w:ascii="Arial" w:hAnsi="Arial" w:cs="Arial"/>
          <w:color w:val="2E74B5" w:themeColor="accent5" w:themeShade="BF"/>
          <w:sz w:val="18"/>
          <w:szCs w:val="18"/>
        </w:rPr>
        <w:t xml:space="preserve">. As shown in the statistical results in Fig. 7, when a ship clutter with a mainlobe reflectivity of 20 </w:t>
      </w:r>
      <w:proofErr w:type="spellStart"/>
      <w:r w:rsidRPr="0010795F">
        <w:rPr>
          <w:rFonts w:ascii="Arial" w:hAnsi="Arial" w:cs="Arial"/>
          <w:color w:val="2E74B5" w:themeColor="accent5" w:themeShade="BF"/>
          <w:sz w:val="18"/>
          <w:szCs w:val="18"/>
        </w:rPr>
        <w:t>dBZ</w:t>
      </w:r>
      <w:proofErr w:type="spellEnd"/>
      <w:r w:rsidRPr="0010795F">
        <w:rPr>
          <w:rFonts w:ascii="Arial" w:hAnsi="Arial" w:cs="Arial"/>
          <w:color w:val="2E74B5" w:themeColor="accent5" w:themeShade="BF"/>
          <w:sz w:val="18"/>
          <w:szCs w:val="18"/>
        </w:rPr>
        <w:t xml:space="preserve"> is observed at 50 km, detectable sidelobe echoes are limited to a few range </w:t>
      </w:r>
      <w:r w:rsidR="00942444" w:rsidRPr="0010795F">
        <w:rPr>
          <w:rFonts w:ascii="Arial" w:hAnsi="Arial" w:cs="Arial"/>
          <w:color w:val="2E74B5" w:themeColor="accent5" w:themeShade="BF"/>
          <w:sz w:val="18"/>
          <w:szCs w:val="18"/>
        </w:rPr>
        <w:t>gate</w:t>
      </w:r>
      <w:r w:rsidRPr="0010795F">
        <w:rPr>
          <w:rFonts w:ascii="Arial" w:hAnsi="Arial" w:cs="Arial"/>
          <w:color w:val="2E74B5" w:themeColor="accent5" w:themeShade="BF"/>
          <w:sz w:val="18"/>
          <w:szCs w:val="18"/>
        </w:rPr>
        <w:t>s near the mainlobe</w:t>
      </w:r>
      <w:r w:rsidR="00942444" w:rsidRPr="0010795F">
        <w:rPr>
          <w:rFonts w:ascii="Arial" w:hAnsi="Arial" w:cs="Arial"/>
          <w:color w:val="2E74B5" w:themeColor="accent5" w:themeShade="BF"/>
          <w:sz w:val="18"/>
          <w:szCs w:val="18"/>
        </w:rPr>
        <w:t xml:space="preserve"> (i.e., those exceeding -40 dB in Fig. 7)</w:t>
      </w:r>
      <w:r w:rsidRPr="0010795F">
        <w:rPr>
          <w:rFonts w:ascii="Arial" w:hAnsi="Arial" w:cs="Arial"/>
          <w:color w:val="2E74B5" w:themeColor="accent5" w:themeShade="BF"/>
          <w:sz w:val="18"/>
          <w:szCs w:val="18"/>
        </w:rPr>
        <w:t>.</w:t>
      </w:r>
      <w:r w:rsidR="00265DF5">
        <w:rPr>
          <w:rFonts w:ascii="Arial" w:hAnsi="Arial" w:cs="Arial" w:hint="eastAsia"/>
          <w:color w:val="2E74B5" w:themeColor="accent5" w:themeShade="BF"/>
          <w:sz w:val="18"/>
          <w:szCs w:val="18"/>
        </w:rPr>
        <w:t xml:space="preserve"> Namely, no significant sidelobes are observed by the radar if a lower threshold is used.</w:t>
      </w:r>
      <w:r w:rsidRPr="0010795F">
        <w:rPr>
          <w:rFonts w:ascii="Arial" w:hAnsi="Arial" w:cs="Arial"/>
          <w:color w:val="2E74B5" w:themeColor="accent5" w:themeShade="BF"/>
          <w:sz w:val="18"/>
          <w:szCs w:val="18"/>
        </w:rPr>
        <w:t xml:space="preserve"> </w:t>
      </w:r>
      <w:r w:rsidR="00265DF5">
        <w:rPr>
          <w:rFonts w:ascii="Arial" w:hAnsi="Arial" w:cs="Arial" w:hint="eastAsia"/>
          <w:color w:val="2E74B5" w:themeColor="accent5" w:themeShade="BF"/>
          <w:sz w:val="18"/>
          <w:szCs w:val="18"/>
        </w:rPr>
        <w:t xml:space="preserve">Therefore, the selection of 20 </w:t>
      </w:r>
      <w:proofErr w:type="spellStart"/>
      <w:r w:rsidR="00265DF5">
        <w:rPr>
          <w:rFonts w:ascii="Arial" w:hAnsi="Arial" w:cs="Arial" w:hint="eastAsia"/>
          <w:color w:val="2E74B5" w:themeColor="accent5" w:themeShade="BF"/>
          <w:sz w:val="18"/>
          <w:szCs w:val="18"/>
        </w:rPr>
        <w:t>dBZ</w:t>
      </w:r>
      <w:proofErr w:type="spellEnd"/>
      <w:r w:rsidR="00265DF5">
        <w:rPr>
          <w:rFonts w:ascii="Arial" w:hAnsi="Arial" w:cs="Arial" w:hint="eastAsia"/>
          <w:color w:val="2E74B5" w:themeColor="accent5" w:themeShade="BF"/>
          <w:sz w:val="18"/>
          <w:szCs w:val="18"/>
        </w:rPr>
        <w:t xml:space="preserve"> is a comprise between radar sensitivity and the sidelobe levels. If better sensitivity can be </w:t>
      </w:r>
      <w:r w:rsidR="00265DF5">
        <w:rPr>
          <w:rFonts w:ascii="Arial" w:hAnsi="Arial" w:cs="Arial"/>
          <w:color w:val="2E74B5" w:themeColor="accent5" w:themeShade="BF"/>
          <w:sz w:val="18"/>
          <w:szCs w:val="18"/>
        </w:rPr>
        <w:t>achieved</w:t>
      </w:r>
      <w:r w:rsidR="00265DF5">
        <w:rPr>
          <w:rFonts w:ascii="Arial" w:hAnsi="Arial" w:cs="Arial" w:hint="eastAsia"/>
          <w:color w:val="2E74B5" w:themeColor="accent5" w:themeShade="BF"/>
          <w:sz w:val="18"/>
          <w:szCs w:val="18"/>
        </w:rPr>
        <w:t xml:space="preserve">, a lower </w:t>
      </w:r>
      <w:r w:rsidR="00265DF5">
        <w:rPr>
          <w:rFonts w:ascii="Arial" w:hAnsi="Arial" w:cs="Arial"/>
          <w:color w:val="2E74B5" w:themeColor="accent5" w:themeShade="BF"/>
          <w:sz w:val="18"/>
          <w:szCs w:val="18"/>
        </w:rPr>
        <w:t>threshold</w:t>
      </w:r>
      <w:r w:rsidR="00265DF5">
        <w:rPr>
          <w:rFonts w:ascii="Arial" w:hAnsi="Arial" w:cs="Arial" w:hint="eastAsia"/>
          <w:color w:val="2E74B5" w:themeColor="accent5" w:themeShade="BF"/>
          <w:sz w:val="18"/>
          <w:szCs w:val="18"/>
        </w:rPr>
        <w:t xml:space="preserve"> can be made.</w:t>
      </w:r>
    </w:p>
    <w:p w14:paraId="5CF6D730" w14:textId="4A3B7F85" w:rsidR="00626C1D" w:rsidRPr="0010795F" w:rsidRDefault="00626C1D" w:rsidP="00626C1D">
      <w:pPr>
        <w:snapToGrid w:val="0"/>
        <w:spacing w:beforeLines="50" w:before="211"/>
        <w:rPr>
          <w:rFonts w:ascii="Arial" w:hAnsi="Arial" w:cs="Arial"/>
          <w:color w:val="2E74B5" w:themeColor="accent5" w:themeShade="BF"/>
          <w:sz w:val="18"/>
          <w:szCs w:val="18"/>
        </w:rPr>
      </w:pPr>
      <w:r w:rsidRPr="0010795F">
        <w:rPr>
          <w:rFonts w:ascii="Arial" w:hAnsi="Arial" w:cs="Arial"/>
          <w:color w:val="2E74B5" w:themeColor="accent5" w:themeShade="BF"/>
          <w:sz w:val="18"/>
          <w:szCs w:val="18"/>
        </w:rPr>
        <w:t>A more intuitive example is the ship clutter labeled as "2" in Fig</w:t>
      </w:r>
      <w:r w:rsidR="00942444" w:rsidRPr="0010795F">
        <w:rPr>
          <w:rFonts w:ascii="Arial" w:hAnsi="Arial" w:cs="Arial"/>
          <w:color w:val="2E74B5" w:themeColor="accent5" w:themeShade="BF"/>
          <w:sz w:val="18"/>
          <w:szCs w:val="18"/>
        </w:rPr>
        <w:t>.</w:t>
      </w:r>
      <w:r w:rsidRPr="0010795F">
        <w:rPr>
          <w:rFonts w:ascii="Arial" w:hAnsi="Arial" w:cs="Arial"/>
          <w:color w:val="2E74B5" w:themeColor="accent5" w:themeShade="BF"/>
          <w:sz w:val="18"/>
          <w:szCs w:val="18"/>
        </w:rPr>
        <w:t xml:space="preserve"> </w:t>
      </w:r>
      <w:r w:rsidR="00942444" w:rsidRPr="0010795F">
        <w:rPr>
          <w:rFonts w:ascii="Arial" w:hAnsi="Arial" w:cs="Arial"/>
          <w:color w:val="2E74B5" w:themeColor="accent5" w:themeShade="BF"/>
          <w:sz w:val="18"/>
          <w:szCs w:val="18"/>
        </w:rPr>
        <w:t>9</w:t>
      </w:r>
      <w:r w:rsidRPr="0010795F">
        <w:rPr>
          <w:rFonts w:ascii="Arial" w:hAnsi="Arial" w:cs="Arial"/>
          <w:color w:val="2E74B5" w:themeColor="accent5" w:themeShade="BF"/>
          <w:sz w:val="18"/>
          <w:szCs w:val="18"/>
        </w:rPr>
        <w:t xml:space="preserve">a. In such cases, when the ship clutter appears in isolation (i.e., not overlapping with precipitation echoes), it can be effectively suppressed using methods commonly applied to mitigate point clutter </w:t>
      </w:r>
      <w:r w:rsidR="00942444" w:rsidRPr="0010795F">
        <w:rPr>
          <w:rFonts w:ascii="Arial" w:hAnsi="Arial" w:cs="Arial"/>
          <w:color w:val="2E74B5" w:themeColor="accent5" w:themeShade="BF"/>
          <w:sz w:val="18"/>
          <w:szCs w:val="18"/>
        </w:rPr>
        <w:t>(</w:t>
      </w:r>
      <w:r w:rsidR="004C1606" w:rsidRPr="0010795F">
        <w:rPr>
          <w:rFonts w:ascii="Arial" w:hAnsi="Arial" w:cs="Arial"/>
          <w:color w:val="2E74B5" w:themeColor="accent5" w:themeShade="BF"/>
          <w:sz w:val="18"/>
          <w:szCs w:val="18"/>
        </w:rPr>
        <w:t>Vaisala 2016</w:t>
      </w:r>
      <w:r w:rsidR="00942444" w:rsidRPr="0010795F">
        <w:rPr>
          <w:rFonts w:ascii="Arial" w:hAnsi="Arial" w:cs="Arial"/>
          <w:color w:val="2E74B5" w:themeColor="accent5" w:themeShade="BF"/>
          <w:sz w:val="18"/>
          <w:szCs w:val="18"/>
        </w:rPr>
        <w:t>)</w:t>
      </w:r>
      <w:r w:rsidRPr="0010795F">
        <w:rPr>
          <w:rFonts w:ascii="Arial" w:hAnsi="Arial" w:cs="Arial"/>
          <w:color w:val="2E74B5" w:themeColor="accent5" w:themeShade="BF"/>
          <w:sz w:val="18"/>
          <w:szCs w:val="18"/>
        </w:rPr>
        <w:t xml:space="preserve">. When </w:t>
      </w:r>
      <w:r w:rsidR="00942444" w:rsidRPr="0010795F">
        <w:rPr>
          <w:rFonts w:ascii="Arial" w:hAnsi="Arial" w:cs="Arial"/>
          <w:color w:val="2E74B5" w:themeColor="accent5" w:themeShade="BF"/>
          <w:sz w:val="18"/>
          <w:szCs w:val="18"/>
        </w:rPr>
        <w:t>the ship clutter</w:t>
      </w:r>
      <w:r w:rsidRPr="0010795F">
        <w:rPr>
          <w:rFonts w:ascii="Arial" w:hAnsi="Arial" w:cs="Arial"/>
          <w:color w:val="2E74B5" w:themeColor="accent5" w:themeShade="BF"/>
          <w:sz w:val="18"/>
          <w:szCs w:val="18"/>
        </w:rPr>
        <w:t xml:space="preserve"> overlaps with precipitation, the impact on the observation data is usually minimal. Therefore, by applying this threshold, the efficiency of the algorithm can be improved without affecting its performance. Additional explanation regarding this has been included in Section </w:t>
      </w:r>
      <w:r w:rsidR="00942444" w:rsidRPr="0010795F">
        <w:rPr>
          <w:rFonts w:ascii="Arial" w:hAnsi="Arial" w:cs="Arial"/>
          <w:color w:val="2E74B5" w:themeColor="accent5" w:themeShade="BF"/>
          <w:sz w:val="18"/>
          <w:szCs w:val="18"/>
        </w:rPr>
        <w:t>3.1.1</w:t>
      </w:r>
      <w:r w:rsidRPr="0010795F">
        <w:rPr>
          <w:rFonts w:ascii="Arial" w:hAnsi="Arial" w:cs="Arial"/>
          <w:color w:val="2E74B5" w:themeColor="accent5" w:themeShade="BF"/>
          <w:sz w:val="18"/>
          <w:szCs w:val="18"/>
        </w:rPr>
        <w:t xml:space="preserve"> of the manuscript</w:t>
      </w:r>
      <w:r w:rsidR="00942444" w:rsidRPr="0010795F">
        <w:rPr>
          <w:rFonts w:ascii="Arial" w:hAnsi="Arial" w:cs="Arial"/>
          <w:color w:val="2E74B5" w:themeColor="accent5" w:themeShade="BF"/>
          <w:sz w:val="18"/>
          <w:szCs w:val="18"/>
        </w:rPr>
        <w:t xml:space="preserve"> (</w:t>
      </w:r>
      <w:r w:rsidR="00B919AF">
        <w:rPr>
          <w:rFonts w:ascii="Arial" w:hAnsi="Arial" w:cs="Arial"/>
          <w:color w:val="2E74B5" w:themeColor="accent5" w:themeShade="BF"/>
          <w:sz w:val="18"/>
          <w:szCs w:val="18"/>
        </w:rPr>
        <w:t>Line 15</w:t>
      </w:r>
      <w:r w:rsidR="00FA6A1A">
        <w:rPr>
          <w:rFonts w:ascii="Arial" w:hAnsi="Arial" w:cs="Arial"/>
          <w:color w:val="2E74B5" w:themeColor="accent5" w:themeShade="BF"/>
          <w:sz w:val="18"/>
          <w:szCs w:val="18"/>
        </w:rPr>
        <w:t>4</w:t>
      </w:r>
      <w:r w:rsidR="00B919AF">
        <w:rPr>
          <w:rFonts w:ascii="Arial" w:hAnsi="Arial" w:cs="Arial"/>
          <w:color w:val="2E74B5" w:themeColor="accent5" w:themeShade="BF"/>
          <w:sz w:val="18"/>
          <w:szCs w:val="18"/>
        </w:rPr>
        <w:t xml:space="preserve">; </w:t>
      </w:r>
      <w:r w:rsidR="00942444" w:rsidRPr="0010795F">
        <w:rPr>
          <w:rFonts w:ascii="Arial" w:hAnsi="Arial" w:cs="Arial"/>
          <w:color w:val="2E74B5" w:themeColor="accent5" w:themeShade="BF"/>
          <w:sz w:val="18"/>
          <w:szCs w:val="18"/>
        </w:rPr>
        <w:t>highlighted content)</w:t>
      </w:r>
      <w:r w:rsidRPr="0010795F">
        <w:rPr>
          <w:rFonts w:ascii="Arial" w:hAnsi="Arial" w:cs="Arial"/>
          <w:color w:val="2E74B5" w:themeColor="accent5" w:themeShade="BF"/>
          <w:sz w:val="18"/>
          <w:szCs w:val="18"/>
        </w:rPr>
        <w:t>.</w:t>
      </w:r>
    </w:p>
    <w:p w14:paraId="46E9F7DA" w14:textId="44841500" w:rsidR="004C1606" w:rsidRPr="0010795F" w:rsidRDefault="004C1606" w:rsidP="00626C1D">
      <w:pPr>
        <w:snapToGrid w:val="0"/>
        <w:spacing w:beforeLines="50" w:before="211"/>
        <w:rPr>
          <w:rFonts w:ascii="Arial" w:hAnsi="Arial" w:cs="Arial"/>
          <w:color w:val="2E74B5" w:themeColor="accent5" w:themeShade="BF"/>
          <w:sz w:val="18"/>
          <w:szCs w:val="18"/>
        </w:rPr>
      </w:pPr>
      <w:r w:rsidRPr="0010795F">
        <w:rPr>
          <w:rFonts w:ascii="Arial" w:hAnsi="Arial" w:cs="Arial"/>
          <w:color w:val="2E74B5" w:themeColor="accent5" w:themeShade="BF"/>
          <w:sz w:val="18"/>
          <w:szCs w:val="18"/>
        </w:rPr>
        <w:t xml:space="preserve">Vaisala: User’s manual: RVP900 digital receiver and signal processor; Vaisala </w:t>
      </w:r>
      <w:proofErr w:type="spellStart"/>
      <w:r w:rsidRPr="0010795F">
        <w:rPr>
          <w:rFonts w:ascii="Arial" w:hAnsi="Arial" w:cs="Arial"/>
          <w:color w:val="2E74B5" w:themeColor="accent5" w:themeShade="BF"/>
          <w:sz w:val="18"/>
          <w:szCs w:val="18"/>
        </w:rPr>
        <w:t>oyj</w:t>
      </w:r>
      <w:proofErr w:type="spellEnd"/>
      <w:r w:rsidRPr="0010795F">
        <w:rPr>
          <w:rFonts w:ascii="Arial" w:hAnsi="Arial" w:cs="Arial"/>
          <w:color w:val="2E74B5" w:themeColor="accent5" w:themeShade="BF"/>
          <w:sz w:val="18"/>
          <w:szCs w:val="18"/>
        </w:rPr>
        <w:t>: Vantaa, Finland, 513, 2016.</w:t>
      </w:r>
    </w:p>
    <w:p w14:paraId="348CF1E4" w14:textId="20082053" w:rsidR="0056355B" w:rsidRPr="0010795F" w:rsidRDefault="0056355B" w:rsidP="00265EB0">
      <w:pPr>
        <w:snapToGrid w:val="0"/>
        <w:spacing w:beforeLines="50" w:before="211"/>
        <w:rPr>
          <w:rFonts w:ascii="Arial" w:hAnsi="Arial" w:cs="Arial"/>
          <w:sz w:val="18"/>
          <w:szCs w:val="18"/>
        </w:rPr>
      </w:pPr>
      <w:r w:rsidRPr="0010795F">
        <w:rPr>
          <w:rFonts w:ascii="Arial" w:hAnsi="Arial" w:cs="Arial"/>
          <w:b/>
          <w:sz w:val="18"/>
          <w:szCs w:val="18"/>
        </w:rPr>
        <w:t xml:space="preserve">Question 3: </w:t>
      </w:r>
      <w:r w:rsidR="00265EB0" w:rsidRPr="0010795F">
        <w:rPr>
          <w:rFonts w:ascii="Arial" w:hAnsi="Arial" w:cs="Arial"/>
          <w:sz w:val="18"/>
          <w:szCs w:val="18"/>
        </w:rPr>
        <w:t>Manual Selection of Sidelobe Region (Line 244): The sidelobe region is manually defined within a 13.5 km radial range and 15° in the tangential direction. The origin and justification for these values are not provided. Were these same values used later in operational scenarios? Furthermore, what automated method replaces the manual process in operational applications?</w:t>
      </w:r>
    </w:p>
    <w:p w14:paraId="1A7E19B8" w14:textId="64889045" w:rsidR="00F178A7" w:rsidRPr="0010795F" w:rsidRDefault="00F178A7" w:rsidP="00BD2687">
      <w:pPr>
        <w:snapToGrid w:val="0"/>
        <w:spacing w:beforeLines="50" w:before="211"/>
        <w:rPr>
          <w:rFonts w:ascii="Arial" w:hAnsi="Arial" w:cs="Arial"/>
          <w:color w:val="2E74B5" w:themeColor="accent5" w:themeShade="BF"/>
          <w:sz w:val="18"/>
          <w:szCs w:val="18"/>
        </w:rPr>
      </w:pPr>
      <w:r w:rsidRPr="0010795F">
        <w:rPr>
          <w:rFonts w:ascii="Arial" w:hAnsi="Arial" w:cs="Arial"/>
          <w:color w:val="2E74B5" w:themeColor="accent5" w:themeShade="BF"/>
          <w:sz w:val="18"/>
          <w:szCs w:val="18"/>
        </w:rPr>
        <w:lastRenderedPageBreak/>
        <w:t xml:space="preserve">The radial range of 13.5 km (90 range </w:t>
      </w:r>
      <w:r w:rsidRPr="0010795F">
        <w:rPr>
          <w:rFonts w:ascii="Arial" w:hAnsi="Arial" w:cs="Arial" w:hint="eastAsia"/>
          <w:color w:val="2E74B5" w:themeColor="accent5" w:themeShade="BF"/>
          <w:sz w:val="18"/>
          <w:szCs w:val="18"/>
        </w:rPr>
        <w:t>gates</w:t>
      </w:r>
      <w:r w:rsidRPr="0010795F">
        <w:rPr>
          <w:rFonts w:ascii="Arial" w:hAnsi="Arial" w:cs="Arial"/>
          <w:color w:val="2E74B5" w:themeColor="accent5" w:themeShade="BF"/>
          <w:sz w:val="18"/>
          <w:szCs w:val="18"/>
        </w:rPr>
        <w:t xml:space="preserve">) was determined based on the pulse width (90 </w:t>
      </w:r>
      <w:proofErr w:type="spellStart"/>
      <w:r w:rsidRPr="0010795F">
        <w:rPr>
          <w:rFonts w:ascii="Arial" w:hAnsi="Arial" w:cs="Arial"/>
          <w:color w:val="2E74B5" w:themeColor="accent5" w:themeShade="BF"/>
          <w:sz w:val="18"/>
          <w:szCs w:val="18"/>
        </w:rPr>
        <w:t>μs</w:t>
      </w:r>
      <w:proofErr w:type="spellEnd"/>
      <w:r w:rsidRPr="0010795F">
        <w:rPr>
          <w:rFonts w:ascii="Arial" w:hAnsi="Arial" w:cs="Arial"/>
          <w:color w:val="2E74B5" w:themeColor="accent5" w:themeShade="BF"/>
          <w:sz w:val="18"/>
          <w:szCs w:val="18"/>
        </w:rPr>
        <w:t xml:space="preserve">) of the pulse compression waveform. In other words, the maximum range affected by the range sidelobes of ship clutter is 13.5 km. The tangential direction was limited to 15 degrees, based on the antenna pattern. As the angle deviates from the mainlobe, the power of sidelobe echoes significantly decreases. As shown in Fig. </w:t>
      </w:r>
      <w:r w:rsidR="0010795F">
        <w:rPr>
          <w:rFonts w:ascii="Arial" w:hAnsi="Arial" w:cs="Arial"/>
          <w:color w:val="2E74B5" w:themeColor="accent5" w:themeShade="BF"/>
          <w:sz w:val="18"/>
          <w:szCs w:val="18"/>
        </w:rPr>
        <w:t>7</w:t>
      </w:r>
      <w:r w:rsidRPr="0010795F">
        <w:rPr>
          <w:rFonts w:ascii="Arial" w:hAnsi="Arial" w:cs="Arial"/>
          <w:color w:val="2E74B5" w:themeColor="accent5" w:themeShade="BF"/>
          <w:sz w:val="18"/>
          <w:szCs w:val="18"/>
        </w:rPr>
        <w:t>, when the deviation from the mainlobe reaches 15 degrees, the sidelobe level is 80 dB lower than the mainlobe. Therefore, data beyond this 15-degree range can be considered below the radar's sensitivity and thus undetectable. Additional explanation regarding this has been included in Section 3.2.1 of the manuscript (</w:t>
      </w:r>
      <w:r w:rsidR="00B919AF">
        <w:rPr>
          <w:rFonts w:ascii="Arial" w:hAnsi="Arial" w:cs="Arial"/>
          <w:color w:val="2E74B5" w:themeColor="accent5" w:themeShade="BF"/>
          <w:sz w:val="18"/>
          <w:szCs w:val="18"/>
        </w:rPr>
        <w:t>Line 2</w:t>
      </w:r>
      <w:r w:rsidR="00FA6A1A">
        <w:rPr>
          <w:rFonts w:ascii="Arial" w:hAnsi="Arial" w:cs="Arial"/>
          <w:color w:val="2E74B5" w:themeColor="accent5" w:themeShade="BF"/>
          <w:sz w:val="18"/>
          <w:szCs w:val="18"/>
        </w:rPr>
        <w:t>70</w:t>
      </w:r>
      <w:r w:rsidR="00B919AF">
        <w:rPr>
          <w:rFonts w:ascii="Arial" w:hAnsi="Arial" w:cs="Arial"/>
          <w:color w:val="2E74B5" w:themeColor="accent5" w:themeShade="BF"/>
          <w:sz w:val="18"/>
          <w:szCs w:val="18"/>
        </w:rPr>
        <w:t xml:space="preserve">; </w:t>
      </w:r>
      <w:r w:rsidRPr="0010795F">
        <w:rPr>
          <w:rFonts w:ascii="Arial" w:hAnsi="Arial" w:cs="Arial"/>
          <w:color w:val="2E74B5" w:themeColor="accent5" w:themeShade="BF"/>
          <w:sz w:val="18"/>
          <w:szCs w:val="18"/>
        </w:rPr>
        <w:t>highlighted content).</w:t>
      </w:r>
    </w:p>
    <w:p w14:paraId="2658FE09" w14:textId="1C802ADD" w:rsidR="00F178A7" w:rsidRPr="0010795F" w:rsidRDefault="00F178A7" w:rsidP="00BD2687">
      <w:pPr>
        <w:snapToGrid w:val="0"/>
        <w:spacing w:beforeLines="50" w:before="211"/>
        <w:rPr>
          <w:rFonts w:ascii="Arial" w:hAnsi="Arial" w:cs="Arial"/>
          <w:color w:val="2E74B5" w:themeColor="accent5" w:themeShade="BF"/>
          <w:sz w:val="18"/>
          <w:szCs w:val="18"/>
        </w:rPr>
      </w:pPr>
      <w:r w:rsidRPr="0010795F">
        <w:rPr>
          <w:rFonts w:ascii="Arial" w:hAnsi="Arial" w:cs="Arial"/>
          <w:color w:val="2E74B5" w:themeColor="accent5" w:themeShade="BF"/>
          <w:sz w:val="18"/>
          <w:szCs w:val="18"/>
        </w:rPr>
        <w:t xml:space="preserve">Regarding the reviewer’s question about the manual data selection, this was performed during the algorithm design phase. The purpose was to analyze the characteristics of ship clutter under a specific radar (the Kumpula radar in this case) and a specific transmitted waveform (the 90 </w:t>
      </w:r>
      <w:proofErr w:type="spellStart"/>
      <w:r w:rsidRPr="0010795F">
        <w:rPr>
          <w:rFonts w:ascii="Arial" w:hAnsi="Arial" w:cs="Arial"/>
          <w:color w:val="2E74B5" w:themeColor="accent5" w:themeShade="BF"/>
          <w:sz w:val="18"/>
          <w:szCs w:val="18"/>
        </w:rPr>
        <w:t>μs</w:t>
      </w:r>
      <w:proofErr w:type="spellEnd"/>
      <w:r w:rsidRPr="0010795F">
        <w:rPr>
          <w:rFonts w:ascii="Arial" w:hAnsi="Arial" w:cs="Arial"/>
          <w:color w:val="2E74B5" w:themeColor="accent5" w:themeShade="BF"/>
          <w:sz w:val="18"/>
          <w:szCs w:val="18"/>
        </w:rPr>
        <w:t xml:space="preserve"> LFM waveform used by the Kumpula radar). In the subsequent application phase, manual data selection is no longer involved; instead, the statistical results obtained during the design phase are used. It is worth noting that the characteristics obtained in this study are limited to the Kumpula radar under the LFM waveform. When applying the algorithm to other radars, a new statistical analysis must be conducted.</w:t>
      </w:r>
    </w:p>
    <w:p w14:paraId="6F68CA1B" w14:textId="360497B8" w:rsidR="00290FBD" w:rsidRPr="0010795F" w:rsidRDefault="00290FBD" w:rsidP="00265EB0">
      <w:pPr>
        <w:snapToGrid w:val="0"/>
        <w:spacing w:beforeLines="50" w:before="211"/>
        <w:rPr>
          <w:rFonts w:ascii="Arial" w:hAnsi="Arial" w:cs="Arial"/>
          <w:sz w:val="18"/>
          <w:szCs w:val="18"/>
        </w:rPr>
      </w:pPr>
      <w:r w:rsidRPr="0010795F">
        <w:rPr>
          <w:rFonts w:ascii="Arial" w:hAnsi="Arial" w:cs="Arial"/>
          <w:b/>
          <w:sz w:val="18"/>
          <w:szCs w:val="18"/>
        </w:rPr>
        <w:t xml:space="preserve">Question 4: </w:t>
      </w:r>
      <w:r w:rsidR="00265EB0" w:rsidRPr="0010795F">
        <w:rPr>
          <w:rFonts w:ascii="Arial" w:hAnsi="Arial" w:cs="Arial"/>
          <w:sz w:val="18"/>
          <w:szCs w:val="18"/>
        </w:rPr>
        <w:t>Case Study Placement (Section 3): Two case studies are introduced in the ‚method’ section. However, they seem more appropriate for Section 4, where other case analyses are presented. Additionally, the purpose of second case (Fig. 8) is unclear—what characteristics is it meant to highlight, and why was it chosen?</w:t>
      </w:r>
    </w:p>
    <w:p w14:paraId="43FFA1AE" w14:textId="69864041" w:rsidR="00B73FB7" w:rsidRPr="0010795F" w:rsidRDefault="00265DF5" w:rsidP="00BD2687">
      <w:pPr>
        <w:snapToGrid w:val="0"/>
        <w:spacing w:beforeLines="50" w:before="211"/>
        <w:rPr>
          <w:rFonts w:ascii="Arial" w:hAnsi="Arial" w:cs="Arial"/>
          <w:color w:val="2E74B5" w:themeColor="accent5" w:themeShade="BF"/>
          <w:sz w:val="18"/>
          <w:szCs w:val="18"/>
        </w:rPr>
      </w:pPr>
      <w:r>
        <w:rPr>
          <w:rFonts w:ascii="Arial" w:hAnsi="Arial" w:cs="Arial" w:hint="eastAsia"/>
          <w:color w:val="2E74B5" w:themeColor="accent5" w:themeShade="BF"/>
          <w:sz w:val="18"/>
          <w:szCs w:val="18"/>
        </w:rPr>
        <w:t>This concern is valid. W</w:t>
      </w:r>
      <w:r w:rsidR="00731299" w:rsidRPr="0010795F">
        <w:rPr>
          <w:rFonts w:ascii="Arial" w:hAnsi="Arial" w:cs="Arial"/>
          <w:color w:val="2E74B5" w:themeColor="accent5" w:themeShade="BF"/>
          <w:sz w:val="18"/>
          <w:szCs w:val="18"/>
        </w:rPr>
        <w:t>e</w:t>
      </w:r>
      <w:r>
        <w:rPr>
          <w:rFonts w:ascii="Arial" w:hAnsi="Arial" w:cs="Arial" w:hint="eastAsia"/>
          <w:color w:val="2E74B5" w:themeColor="accent5" w:themeShade="BF"/>
          <w:sz w:val="18"/>
          <w:szCs w:val="18"/>
        </w:rPr>
        <w:t xml:space="preserve"> did give thi</w:t>
      </w:r>
      <w:r w:rsidR="001764B1">
        <w:rPr>
          <w:rFonts w:ascii="Arial" w:hAnsi="Arial" w:cs="Arial" w:hint="eastAsia"/>
          <w:color w:val="2E74B5" w:themeColor="accent5" w:themeShade="BF"/>
          <w:sz w:val="18"/>
          <w:szCs w:val="18"/>
        </w:rPr>
        <w:t>nking on this point in previous</w:t>
      </w:r>
      <w:r w:rsidR="00731299" w:rsidRPr="0010795F">
        <w:rPr>
          <w:rFonts w:ascii="Arial" w:hAnsi="Arial" w:cs="Arial"/>
          <w:color w:val="2E74B5" w:themeColor="accent5" w:themeShade="BF"/>
          <w:sz w:val="18"/>
          <w:szCs w:val="18"/>
        </w:rPr>
        <w:t xml:space="preserve"> submission. However, considering that the readers of this paper may not all be experts in the field, relying solely on textual descriptions might not be reader-friendly. Therefore, following the writing style of Tang et al. (2014, 2020), we adopted a visual approach to present the algorithm's principles and design logic, which we believe will better aid readers in understanding the proposed method.</w:t>
      </w:r>
    </w:p>
    <w:p w14:paraId="0D6C31C6" w14:textId="16E5B6F0" w:rsidR="00B73FB7" w:rsidRPr="0010795F" w:rsidRDefault="00450FDD" w:rsidP="00BD2687">
      <w:pPr>
        <w:snapToGrid w:val="0"/>
        <w:spacing w:beforeLines="50" w:before="211"/>
        <w:rPr>
          <w:rFonts w:ascii="Arial" w:hAnsi="Arial" w:cs="Arial"/>
          <w:color w:val="2E74B5" w:themeColor="accent5" w:themeShade="BF"/>
          <w:sz w:val="18"/>
          <w:szCs w:val="18"/>
        </w:rPr>
      </w:pPr>
      <w:r w:rsidRPr="0010795F">
        <w:rPr>
          <w:rFonts w:ascii="Arial" w:hAnsi="Arial" w:cs="Arial"/>
          <w:color w:val="2E74B5" w:themeColor="accent5" w:themeShade="BF"/>
          <w:sz w:val="18"/>
          <w:szCs w:val="18"/>
        </w:rPr>
        <w:t xml:space="preserve">Secondly, the reason of presenting the second case is to highlight the effectiveness of the velocity and </w:t>
      </w:r>
      <w:r w:rsidR="00CD4393" w:rsidRPr="0010795F">
        <w:rPr>
          <w:rFonts w:ascii="Arial" w:hAnsi="Arial" w:cs="Arial"/>
          <w:color w:val="2E74B5" w:themeColor="accent5" w:themeShade="BF"/>
          <w:sz w:val="18"/>
          <w:szCs w:val="18"/>
        </w:rPr>
        <w:t>SNR</w:t>
      </w:r>
      <w:r w:rsidRPr="0010795F">
        <w:rPr>
          <w:rFonts w:ascii="Arial" w:hAnsi="Arial" w:cs="Arial"/>
          <w:color w:val="2E74B5" w:themeColor="accent5" w:themeShade="BF"/>
          <w:sz w:val="18"/>
          <w:szCs w:val="18"/>
        </w:rPr>
        <w:t xml:space="preserve"> filter</w:t>
      </w:r>
      <w:r w:rsidR="00CD4393" w:rsidRPr="0010795F">
        <w:rPr>
          <w:rFonts w:ascii="Arial" w:hAnsi="Arial" w:cs="Arial"/>
          <w:color w:val="2E74B5" w:themeColor="accent5" w:themeShade="BF"/>
          <w:sz w:val="18"/>
          <w:szCs w:val="18"/>
        </w:rPr>
        <w:t>s</w:t>
      </w:r>
      <w:r w:rsidRPr="0010795F">
        <w:rPr>
          <w:rFonts w:ascii="Arial" w:hAnsi="Arial" w:cs="Arial"/>
          <w:color w:val="2E74B5" w:themeColor="accent5" w:themeShade="BF"/>
          <w:sz w:val="18"/>
          <w:szCs w:val="18"/>
        </w:rPr>
        <w:t xml:space="preserve"> in preventing excessive suppression of precipitation information. Specifically, under clear-sky conditions (i.e., the first </w:t>
      </w:r>
      <w:r w:rsidR="00CD4393" w:rsidRPr="0010795F">
        <w:rPr>
          <w:rFonts w:ascii="Arial" w:hAnsi="Arial" w:cs="Arial"/>
          <w:color w:val="2E74B5" w:themeColor="accent5" w:themeShade="BF"/>
          <w:sz w:val="18"/>
          <w:szCs w:val="18"/>
        </w:rPr>
        <w:t>case</w:t>
      </w:r>
      <w:r w:rsidRPr="0010795F">
        <w:rPr>
          <w:rFonts w:ascii="Arial" w:hAnsi="Arial" w:cs="Arial"/>
          <w:color w:val="2E74B5" w:themeColor="accent5" w:themeShade="BF"/>
          <w:sz w:val="18"/>
          <w:szCs w:val="18"/>
        </w:rPr>
        <w:t>), since there is no precipitation echo, there is no significant difference whether the velocity and SNR filter</w:t>
      </w:r>
      <w:r w:rsidR="00CD4393" w:rsidRPr="0010795F">
        <w:rPr>
          <w:rFonts w:ascii="Arial" w:hAnsi="Arial" w:cs="Arial"/>
          <w:color w:val="2E74B5" w:themeColor="accent5" w:themeShade="BF"/>
          <w:sz w:val="18"/>
          <w:szCs w:val="18"/>
        </w:rPr>
        <w:t>s</w:t>
      </w:r>
      <w:r w:rsidRPr="0010795F">
        <w:rPr>
          <w:rFonts w:ascii="Arial" w:hAnsi="Arial" w:cs="Arial"/>
          <w:color w:val="2E74B5" w:themeColor="accent5" w:themeShade="BF"/>
          <w:sz w:val="18"/>
          <w:szCs w:val="18"/>
        </w:rPr>
        <w:t xml:space="preserve"> are applied (Figs</w:t>
      </w:r>
      <w:r w:rsidR="00CD4393" w:rsidRPr="0010795F">
        <w:rPr>
          <w:rFonts w:ascii="Arial" w:hAnsi="Arial" w:cs="Arial"/>
          <w:color w:val="2E74B5" w:themeColor="accent5" w:themeShade="BF"/>
          <w:sz w:val="18"/>
          <w:szCs w:val="18"/>
        </w:rPr>
        <w:t>.</w:t>
      </w:r>
      <w:r w:rsidRPr="0010795F">
        <w:rPr>
          <w:rFonts w:ascii="Arial" w:hAnsi="Arial" w:cs="Arial"/>
          <w:color w:val="2E74B5" w:themeColor="accent5" w:themeShade="BF"/>
          <w:sz w:val="18"/>
          <w:szCs w:val="18"/>
        </w:rPr>
        <w:t xml:space="preserve"> 8b and 8d); in contrast, when ship clutter and precipitation echoes are mixed (i.e., the second </w:t>
      </w:r>
      <w:r w:rsidR="00CD4393" w:rsidRPr="0010795F">
        <w:rPr>
          <w:rFonts w:ascii="Arial" w:hAnsi="Arial" w:cs="Arial"/>
          <w:color w:val="2E74B5" w:themeColor="accent5" w:themeShade="BF"/>
          <w:sz w:val="18"/>
          <w:szCs w:val="18"/>
        </w:rPr>
        <w:t>cas</w:t>
      </w:r>
      <w:r w:rsidRPr="0010795F">
        <w:rPr>
          <w:rFonts w:ascii="Arial" w:hAnsi="Arial" w:cs="Arial"/>
          <w:color w:val="2E74B5" w:themeColor="accent5" w:themeShade="BF"/>
          <w:sz w:val="18"/>
          <w:szCs w:val="18"/>
        </w:rPr>
        <w:t>e), using the velocity and SNR filter</w:t>
      </w:r>
      <w:r w:rsidR="00CD4393" w:rsidRPr="0010795F">
        <w:rPr>
          <w:rFonts w:ascii="Arial" w:hAnsi="Arial" w:cs="Arial"/>
          <w:color w:val="2E74B5" w:themeColor="accent5" w:themeShade="BF"/>
          <w:sz w:val="18"/>
          <w:szCs w:val="18"/>
        </w:rPr>
        <w:t>s</w:t>
      </w:r>
      <w:r w:rsidRPr="0010795F">
        <w:rPr>
          <w:rFonts w:ascii="Arial" w:hAnsi="Arial" w:cs="Arial"/>
          <w:color w:val="2E74B5" w:themeColor="accent5" w:themeShade="BF"/>
          <w:sz w:val="18"/>
          <w:szCs w:val="18"/>
        </w:rPr>
        <w:t xml:space="preserve"> can greatly reduce the algorithm's loss of precipitation echoes</w:t>
      </w:r>
      <w:r w:rsidR="00CD4393" w:rsidRPr="0010795F">
        <w:rPr>
          <w:rFonts w:ascii="Arial" w:hAnsi="Arial" w:cs="Arial"/>
          <w:color w:val="2E74B5" w:themeColor="accent5" w:themeShade="BF"/>
          <w:sz w:val="18"/>
          <w:szCs w:val="18"/>
        </w:rPr>
        <w:t xml:space="preserve"> (Figs. </w:t>
      </w:r>
      <w:r w:rsidR="00D062F1">
        <w:rPr>
          <w:rFonts w:ascii="Arial" w:hAnsi="Arial" w:cs="Arial"/>
          <w:color w:val="2E74B5" w:themeColor="accent5" w:themeShade="BF"/>
          <w:sz w:val="18"/>
          <w:szCs w:val="18"/>
        </w:rPr>
        <w:t>9</w:t>
      </w:r>
      <w:r w:rsidR="00CD4393" w:rsidRPr="0010795F">
        <w:rPr>
          <w:rFonts w:ascii="Arial" w:hAnsi="Arial" w:cs="Arial"/>
          <w:color w:val="2E74B5" w:themeColor="accent5" w:themeShade="BF"/>
          <w:sz w:val="18"/>
          <w:szCs w:val="18"/>
        </w:rPr>
        <w:t xml:space="preserve">b and </w:t>
      </w:r>
      <w:r w:rsidR="00D062F1">
        <w:rPr>
          <w:rFonts w:ascii="Arial" w:hAnsi="Arial" w:cs="Arial"/>
          <w:color w:val="2E74B5" w:themeColor="accent5" w:themeShade="BF"/>
          <w:sz w:val="18"/>
          <w:szCs w:val="18"/>
        </w:rPr>
        <w:t>9</w:t>
      </w:r>
      <w:r w:rsidR="00CD4393" w:rsidRPr="0010795F">
        <w:rPr>
          <w:rFonts w:ascii="Arial" w:hAnsi="Arial" w:cs="Arial"/>
          <w:color w:val="2E74B5" w:themeColor="accent5" w:themeShade="BF"/>
          <w:sz w:val="18"/>
          <w:szCs w:val="18"/>
        </w:rPr>
        <w:t>d)</w:t>
      </w:r>
      <w:r w:rsidRPr="0010795F">
        <w:rPr>
          <w:rFonts w:ascii="Arial" w:hAnsi="Arial" w:cs="Arial"/>
          <w:color w:val="2E74B5" w:themeColor="accent5" w:themeShade="BF"/>
          <w:sz w:val="18"/>
          <w:szCs w:val="18"/>
        </w:rPr>
        <w:t>.</w:t>
      </w:r>
    </w:p>
    <w:p w14:paraId="3F74E407" w14:textId="57FFD5E5" w:rsidR="00B73FB7" w:rsidRPr="0010795F" w:rsidRDefault="00B73FB7" w:rsidP="00BD2687">
      <w:pPr>
        <w:snapToGrid w:val="0"/>
        <w:spacing w:beforeLines="50" w:before="211"/>
        <w:rPr>
          <w:rFonts w:ascii="Arial" w:hAnsi="Arial" w:cs="Arial"/>
          <w:color w:val="2E74B5" w:themeColor="accent5" w:themeShade="BF"/>
          <w:sz w:val="18"/>
          <w:szCs w:val="18"/>
        </w:rPr>
      </w:pPr>
      <w:r w:rsidRPr="0010795F">
        <w:rPr>
          <w:rFonts w:ascii="Arial" w:hAnsi="Arial" w:cs="Arial"/>
          <w:color w:val="2E74B5" w:themeColor="accent5" w:themeShade="BF"/>
          <w:sz w:val="18"/>
          <w:szCs w:val="18"/>
        </w:rPr>
        <w:t>Tang, L., J. Zhang, C. Langston, J. Krause, K. Howard, and V. Lakshmanan, 2014: A Physically Based Precipitation–</w:t>
      </w:r>
      <w:proofErr w:type="spellStart"/>
      <w:r w:rsidRPr="0010795F">
        <w:rPr>
          <w:rFonts w:ascii="Arial" w:hAnsi="Arial" w:cs="Arial"/>
          <w:color w:val="2E74B5" w:themeColor="accent5" w:themeShade="BF"/>
          <w:sz w:val="18"/>
          <w:szCs w:val="18"/>
        </w:rPr>
        <w:t>Nonprecipitation</w:t>
      </w:r>
      <w:proofErr w:type="spellEnd"/>
      <w:r w:rsidRPr="0010795F">
        <w:rPr>
          <w:rFonts w:ascii="Arial" w:hAnsi="Arial" w:cs="Arial"/>
          <w:color w:val="2E74B5" w:themeColor="accent5" w:themeShade="BF"/>
          <w:sz w:val="18"/>
          <w:szCs w:val="18"/>
        </w:rPr>
        <w:t xml:space="preserve"> Radar Echo Classifier Using Polarimetric and Environmental Data in a Real-Time National System. Wea. Forecasting, 29, 1106–1119</w:t>
      </w:r>
    </w:p>
    <w:p w14:paraId="0CBD9F11" w14:textId="325A961B" w:rsidR="00B73FB7" w:rsidRPr="0010795F" w:rsidRDefault="00B73FB7" w:rsidP="00BD2687">
      <w:pPr>
        <w:snapToGrid w:val="0"/>
        <w:spacing w:beforeLines="50" w:before="211"/>
        <w:rPr>
          <w:rFonts w:ascii="Arial" w:hAnsi="Arial" w:cs="Arial"/>
          <w:color w:val="2E74B5" w:themeColor="accent5" w:themeShade="BF"/>
          <w:sz w:val="18"/>
          <w:szCs w:val="18"/>
        </w:rPr>
      </w:pPr>
      <w:r w:rsidRPr="0010795F">
        <w:rPr>
          <w:rFonts w:ascii="Arial" w:hAnsi="Arial" w:cs="Arial"/>
          <w:color w:val="2E74B5" w:themeColor="accent5" w:themeShade="BF"/>
          <w:sz w:val="18"/>
          <w:szCs w:val="18"/>
        </w:rPr>
        <w:t>Tang, L., J. Zhang, M. Simpson, A. Arthur, H. Grams, Y. Wang, and C. Langston, 2020: Updates on the Radar Data Quality Control in the MRMS Quantitative Precipitation Estimation System. J. Atmos. Oceanic Technol., 37, 1521–1537</w:t>
      </w:r>
    </w:p>
    <w:p w14:paraId="66790202" w14:textId="59C52C1E" w:rsidR="00AD6849" w:rsidRPr="0010795F" w:rsidRDefault="00AD6849" w:rsidP="00265EB0">
      <w:pPr>
        <w:snapToGrid w:val="0"/>
        <w:spacing w:beforeLines="50" w:before="211"/>
        <w:rPr>
          <w:rFonts w:ascii="Arial" w:hAnsi="Arial" w:cs="Arial"/>
          <w:sz w:val="18"/>
          <w:szCs w:val="18"/>
        </w:rPr>
      </w:pPr>
      <w:r w:rsidRPr="0010795F">
        <w:rPr>
          <w:rFonts w:ascii="Arial" w:hAnsi="Arial" w:cs="Arial"/>
          <w:b/>
          <w:sz w:val="18"/>
          <w:szCs w:val="18"/>
        </w:rPr>
        <w:t xml:space="preserve">Question 5: </w:t>
      </w:r>
      <w:r w:rsidR="00265EB0" w:rsidRPr="0010795F">
        <w:rPr>
          <w:rFonts w:ascii="Arial" w:hAnsi="Arial" w:cs="Arial"/>
          <w:sz w:val="18"/>
          <w:szCs w:val="18"/>
        </w:rPr>
        <w:t>Discussion Section Issues: The final paragraph of the discussion section appears to be more suitable for the introduction or summary. Once this paragraph is removed, the discussion becomes quite short. It would benefit from more in-depth coverage of how the algorithm operates in operational case—especially regarding the parts that were handled manually (e.g., sidelobe removal). Does the algorithm only remove sidelobes near the mainlobe, or is there a more general solution? These points should be explicitly addressed.</w:t>
      </w:r>
    </w:p>
    <w:p w14:paraId="3C7D8352" w14:textId="39F2E155" w:rsidR="00786B00" w:rsidRPr="0010795F" w:rsidRDefault="00786B00" w:rsidP="00786B00">
      <w:pPr>
        <w:snapToGrid w:val="0"/>
        <w:spacing w:beforeLines="50" w:before="211"/>
        <w:rPr>
          <w:rFonts w:ascii="Arial" w:hAnsi="Arial" w:cs="Arial"/>
          <w:color w:val="2E74B5" w:themeColor="accent5" w:themeShade="BF"/>
          <w:sz w:val="18"/>
          <w:szCs w:val="18"/>
        </w:rPr>
      </w:pPr>
      <w:r w:rsidRPr="0010795F">
        <w:rPr>
          <w:rFonts w:ascii="Arial" w:hAnsi="Arial" w:cs="Arial"/>
          <w:color w:val="2E74B5" w:themeColor="accent5" w:themeShade="BF"/>
          <w:sz w:val="18"/>
          <w:szCs w:val="18"/>
        </w:rPr>
        <w:t>Agree. In the revised manuscript, the final paragraph of the Discussion section has been moved to the Summary, and the Discussion has been further improved</w:t>
      </w:r>
      <w:r w:rsidR="00B919AF">
        <w:rPr>
          <w:rFonts w:ascii="Arial" w:hAnsi="Arial" w:cs="Arial"/>
          <w:color w:val="2E74B5" w:themeColor="accent5" w:themeShade="BF"/>
          <w:sz w:val="18"/>
          <w:szCs w:val="18"/>
        </w:rPr>
        <w:t xml:space="preserve"> (Line 45</w:t>
      </w:r>
      <w:r w:rsidR="00FA6A1A">
        <w:rPr>
          <w:rFonts w:ascii="Arial" w:hAnsi="Arial" w:cs="Arial"/>
          <w:color w:val="2E74B5" w:themeColor="accent5" w:themeShade="BF"/>
          <w:sz w:val="18"/>
          <w:szCs w:val="18"/>
        </w:rPr>
        <w:t>6</w:t>
      </w:r>
      <w:r w:rsidR="00B919AF">
        <w:rPr>
          <w:rFonts w:ascii="Arial" w:hAnsi="Arial" w:cs="Arial"/>
          <w:color w:val="2E74B5" w:themeColor="accent5" w:themeShade="BF"/>
          <w:sz w:val="18"/>
          <w:szCs w:val="18"/>
        </w:rPr>
        <w:t>)</w:t>
      </w:r>
      <w:r w:rsidRPr="0010795F">
        <w:rPr>
          <w:rFonts w:ascii="Arial" w:hAnsi="Arial" w:cs="Arial"/>
          <w:color w:val="2E74B5" w:themeColor="accent5" w:themeShade="BF"/>
          <w:sz w:val="18"/>
          <w:szCs w:val="18"/>
        </w:rPr>
        <w:t>.</w:t>
      </w:r>
    </w:p>
    <w:p w14:paraId="26ACA5B5" w14:textId="5CE9B83F" w:rsidR="00786B00" w:rsidRPr="0010795F" w:rsidRDefault="00786B00" w:rsidP="00786B00">
      <w:pPr>
        <w:snapToGrid w:val="0"/>
        <w:spacing w:beforeLines="50" w:before="211"/>
        <w:rPr>
          <w:rFonts w:ascii="Arial" w:hAnsi="Arial" w:cs="Arial"/>
          <w:color w:val="2E74B5" w:themeColor="accent5" w:themeShade="BF"/>
          <w:sz w:val="18"/>
          <w:szCs w:val="18"/>
        </w:rPr>
      </w:pPr>
      <w:r w:rsidRPr="0010795F">
        <w:rPr>
          <w:rFonts w:ascii="Arial" w:hAnsi="Arial" w:cs="Arial"/>
          <w:color w:val="2E74B5" w:themeColor="accent5" w:themeShade="BF"/>
          <w:sz w:val="18"/>
          <w:szCs w:val="18"/>
        </w:rPr>
        <w:t xml:space="preserve">However, we would like to further clarify to the reviewer that, as described in Section 3.2.1 of the manuscript, the </w:t>
      </w:r>
      <w:r w:rsidR="00FF0721" w:rsidRPr="0010795F">
        <w:rPr>
          <w:rFonts w:ascii="Arial" w:hAnsi="Arial" w:cs="Arial" w:hint="eastAsia"/>
          <w:color w:val="2E74B5" w:themeColor="accent5" w:themeShade="BF"/>
          <w:sz w:val="18"/>
          <w:szCs w:val="18"/>
        </w:rPr>
        <w:t>determination</w:t>
      </w:r>
      <w:r w:rsidRPr="0010795F">
        <w:rPr>
          <w:rFonts w:ascii="Arial" w:hAnsi="Arial" w:cs="Arial"/>
          <w:color w:val="2E74B5" w:themeColor="accent5" w:themeShade="BF"/>
          <w:sz w:val="18"/>
          <w:szCs w:val="18"/>
        </w:rPr>
        <w:t xml:space="preserve"> of the PSD </w:t>
      </w:r>
      <w:r w:rsidR="00FF0721" w:rsidRPr="0010795F">
        <w:rPr>
          <w:rFonts w:ascii="Arial" w:hAnsi="Arial" w:cs="Arial" w:hint="eastAsia"/>
          <w:color w:val="2E74B5" w:themeColor="accent5" w:themeShade="BF"/>
          <w:sz w:val="18"/>
          <w:szCs w:val="18"/>
        </w:rPr>
        <w:t>i</w:t>
      </w:r>
      <w:r w:rsidRPr="0010795F">
        <w:rPr>
          <w:rFonts w:ascii="Arial" w:hAnsi="Arial" w:cs="Arial"/>
          <w:color w:val="2E74B5" w:themeColor="accent5" w:themeShade="BF"/>
          <w:sz w:val="18"/>
          <w:szCs w:val="18"/>
        </w:rPr>
        <w:t>s an adaptive process. Specifically, for strong ship clutter, the PSD closely matches the statistical results shown in Fig</w:t>
      </w:r>
      <w:r w:rsidR="00FF0721" w:rsidRPr="0010795F">
        <w:rPr>
          <w:rFonts w:ascii="Arial" w:hAnsi="Arial" w:cs="Arial"/>
          <w:color w:val="2E74B5" w:themeColor="accent5" w:themeShade="BF"/>
          <w:sz w:val="18"/>
          <w:szCs w:val="18"/>
        </w:rPr>
        <w:t>.</w:t>
      </w:r>
      <w:r w:rsidRPr="0010795F">
        <w:rPr>
          <w:rFonts w:ascii="Arial" w:hAnsi="Arial" w:cs="Arial"/>
          <w:color w:val="2E74B5" w:themeColor="accent5" w:themeShade="BF"/>
          <w:sz w:val="18"/>
          <w:szCs w:val="18"/>
        </w:rPr>
        <w:t xml:space="preserve"> </w:t>
      </w:r>
      <w:r w:rsidR="00D062F1">
        <w:rPr>
          <w:rFonts w:ascii="Arial" w:hAnsi="Arial" w:cs="Arial"/>
          <w:color w:val="2E74B5" w:themeColor="accent5" w:themeShade="BF"/>
          <w:sz w:val="18"/>
          <w:szCs w:val="18"/>
        </w:rPr>
        <w:t>7</w:t>
      </w:r>
      <w:r w:rsidRPr="0010795F">
        <w:rPr>
          <w:rFonts w:ascii="Arial" w:hAnsi="Arial" w:cs="Arial"/>
          <w:color w:val="2E74B5" w:themeColor="accent5" w:themeShade="BF"/>
          <w:sz w:val="18"/>
          <w:szCs w:val="18"/>
        </w:rPr>
        <w:t xml:space="preserve">. For weak ship clutter, however, the PSD is constrained by the radar’s sensitivity — most sidelobes cannot be detected by the radar, resulting in a significantly </w:t>
      </w:r>
      <w:r w:rsidR="00FF0721" w:rsidRPr="0010795F">
        <w:rPr>
          <w:rFonts w:ascii="Arial" w:hAnsi="Arial" w:cs="Arial"/>
          <w:color w:val="2E74B5" w:themeColor="accent5" w:themeShade="BF"/>
          <w:sz w:val="18"/>
          <w:szCs w:val="18"/>
        </w:rPr>
        <w:t>small</w:t>
      </w:r>
      <w:r w:rsidRPr="0010795F">
        <w:rPr>
          <w:rFonts w:ascii="Arial" w:hAnsi="Arial" w:cs="Arial"/>
          <w:color w:val="2E74B5" w:themeColor="accent5" w:themeShade="BF"/>
          <w:sz w:val="18"/>
          <w:szCs w:val="18"/>
        </w:rPr>
        <w:t xml:space="preserve">er range limited to a few range </w:t>
      </w:r>
      <w:r w:rsidR="00FF0721" w:rsidRPr="0010795F">
        <w:rPr>
          <w:rFonts w:ascii="Arial" w:hAnsi="Arial" w:cs="Arial"/>
          <w:color w:val="2E74B5" w:themeColor="accent5" w:themeShade="BF"/>
          <w:sz w:val="18"/>
          <w:szCs w:val="18"/>
        </w:rPr>
        <w:t>gate</w:t>
      </w:r>
      <w:r w:rsidRPr="0010795F">
        <w:rPr>
          <w:rFonts w:ascii="Arial" w:hAnsi="Arial" w:cs="Arial"/>
          <w:color w:val="2E74B5" w:themeColor="accent5" w:themeShade="BF"/>
          <w:sz w:val="18"/>
          <w:szCs w:val="18"/>
        </w:rPr>
        <w:t>s adjacent to the mainlobe.</w:t>
      </w:r>
    </w:p>
    <w:p w14:paraId="03C9D710" w14:textId="7AD56291" w:rsidR="00BF6A1E" w:rsidRPr="0010795F" w:rsidRDefault="00BF6A1E" w:rsidP="00265EB0">
      <w:pPr>
        <w:snapToGrid w:val="0"/>
        <w:spacing w:beforeLines="50" w:before="211"/>
        <w:rPr>
          <w:rFonts w:ascii="Arial" w:hAnsi="Arial" w:cs="Arial"/>
          <w:sz w:val="18"/>
          <w:szCs w:val="18"/>
        </w:rPr>
      </w:pPr>
      <w:r w:rsidRPr="0010795F">
        <w:rPr>
          <w:rFonts w:ascii="Arial" w:hAnsi="Arial" w:cs="Arial"/>
          <w:b/>
          <w:sz w:val="18"/>
          <w:szCs w:val="18"/>
        </w:rPr>
        <w:t xml:space="preserve">Question 6: </w:t>
      </w:r>
      <w:r w:rsidR="00265EB0" w:rsidRPr="0010795F">
        <w:rPr>
          <w:rFonts w:ascii="Arial" w:hAnsi="Arial" w:cs="Arial"/>
          <w:sz w:val="18"/>
          <w:szCs w:val="18"/>
        </w:rPr>
        <w:t>Operational Performance for Winter Events: Since the algorithm is intended for operational use, it is strongly recommended to include at least one winter precipitation case to demonstrate its robustness in varying weather conditions.</w:t>
      </w:r>
    </w:p>
    <w:p w14:paraId="5EB62842" w14:textId="505B2208" w:rsidR="00654384" w:rsidRDefault="00F60406" w:rsidP="006C40C3">
      <w:pPr>
        <w:snapToGrid w:val="0"/>
        <w:spacing w:beforeLines="50" w:before="211"/>
        <w:rPr>
          <w:rFonts w:ascii="Arial" w:hAnsi="Arial" w:cs="Arial"/>
          <w:color w:val="2E74B5" w:themeColor="accent5" w:themeShade="BF"/>
          <w:sz w:val="18"/>
          <w:szCs w:val="18"/>
        </w:rPr>
      </w:pPr>
      <w:r w:rsidRPr="00F60406">
        <w:rPr>
          <w:rFonts w:ascii="Arial" w:hAnsi="Arial" w:cs="Arial"/>
          <w:color w:val="2E74B5" w:themeColor="accent5" w:themeShade="BF"/>
          <w:sz w:val="18"/>
          <w:szCs w:val="18"/>
        </w:rPr>
        <w:t xml:space="preserve">This is a good suggestion. </w:t>
      </w:r>
      <w:r w:rsidR="006C40C3">
        <w:rPr>
          <w:rFonts w:ascii="Arial" w:hAnsi="Arial" w:cs="Arial" w:hint="eastAsia"/>
          <w:color w:val="2E74B5" w:themeColor="accent5" w:themeShade="BF"/>
          <w:sz w:val="18"/>
          <w:szCs w:val="18"/>
        </w:rPr>
        <w:t>T</w:t>
      </w:r>
      <w:r w:rsidR="0096493B">
        <w:rPr>
          <w:rFonts w:ascii="Arial" w:hAnsi="Arial" w:cs="Arial" w:hint="eastAsia"/>
          <w:color w:val="2E74B5" w:themeColor="accent5" w:themeShade="BF"/>
          <w:sz w:val="18"/>
          <w:szCs w:val="18"/>
        </w:rPr>
        <w:t>he occurrence</w:t>
      </w:r>
      <w:r w:rsidR="006C40C3">
        <w:rPr>
          <w:rFonts w:ascii="Arial" w:hAnsi="Arial" w:cs="Arial" w:hint="eastAsia"/>
          <w:color w:val="2E74B5" w:themeColor="accent5" w:themeShade="BF"/>
          <w:sz w:val="18"/>
          <w:szCs w:val="18"/>
        </w:rPr>
        <w:t xml:space="preserve"> of </w:t>
      </w:r>
      <w:r w:rsidR="006C40C3">
        <w:rPr>
          <w:rFonts w:ascii="Arial" w:hAnsi="Arial" w:cs="Arial"/>
          <w:color w:val="2E74B5" w:themeColor="accent5" w:themeShade="BF"/>
          <w:sz w:val="18"/>
          <w:szCs w:val="18"/>
        </w:rPr>
        <w:t>super</w:t>
      </w:r>
      <w:r w:rsidR="006C40C3">
        <w:rPr>
          <w:rFonts w:ascii="Arial" w:hAnsi="Arial" w:cs="Arial" w:hint="eastAsia"/>
          <w:color w:val="2E74B5" w:themeColor="accent5" w:themeShade="BF"/>
          <w:sz w:val="18"/>
          <w:szCs w:val="18"/>
        </w:rPr>
        <w:t>-</w:t>
      </w:r>
      <w:r w:rsidR="006C40C3">
        <w:rPr>
          <w:rFonts w:ascii="Arial" w:hAnsi="Arial" w:cs="Arial"/>
          <w:color w:val="2E74B5" w:themeColor="accent5" w:themeShade="BF"/>
          <w:sz w:val="18"/>
          <w:szCs w:val="18"/>
        </w:rPr>
        <w:t>refraction</w:t>
      </w:r>
      <w:r w:rsidR="006C40C3">
        <w:rPr>
          <w:rFonts w:ascii="Arial" w:hAnsi="Arial" w:cs="Arial" w:hint="eastAsia"/>
          <w:color w:val="2E74B5" w:themeColor="accent5" w:themeShade="BF"/>
          <w:sz w:val="18"/>
          <w:szCs w:val="18"/>
        </w:rPr>
        <w:t xml:space="preserve"> </w:t>
      </w:r>
      <w:r w:rsidR="006C40C3">
        <w:rPr>
          <w:rFonts w:ascii="Arial" w:hAnsi="Arial" w:cs="Arial"/>
          <w:color w:val="2E74B5" w:themeColor="accent5" w:themeShade="BF"/>
          <w:sz w:val="18"/>
          <w:szCs w:val="18"/>
        </w:rPr>
        <w:t>which</w:t>
      </w:r>
      <w:r w:rsidR="006C40C3">
        <w:rPr>
          <w:rFonts w:ascii="Arial" w:hAnsi="Arial" w:cs="Arial" w:hint="eastAsia"/>
          <w:color w:val="2E74B5" w:themeColor="accent5" w:themeShade="BF"/>
          <w:sz w:val="18"/>
          <w:szCs w:val="18"/>
        </w:rPr>
        <w:t xml:space="preserve"> is conductive to ship clutter signatures</w:t>
      </w:r>
      <w:r w:rsidR="0096493B">
        <w:rPr>
          <w:rFonts w:ascii="Arial" w:hAnsi="Arial" w:cs="Arial" w:hint="eastAsia"/>
          <w:color w:val="2E74B5" w:themeColor="accent5" w:themeShade="BF"/>
          <w:sz w:val="18"/>
          <w:szCs w:val="18"/>
        </w:rPr>
        <w:t xml:space="preserve"> has seasonal dependence (Lopez, 2009).</w:t>
      </w:r>
      <w:r w:rsidR="006C40C3">
        <w:rPr>
          <w:rFonts w:ascii="Arial" w:hAnsi="Arial" w:cs="Arial" w:hint="eastAsia"/>
          <w:color w:val="2E74B5" w:themeColor="accent5" w:themeShade="BF"/>
          <w:sz w:val="18"/>
          <w:szCs w:val="18"/>
        </w:rPr>
        <w:t xml:space="preserve"> Usually, ship clutter signatures are more common in summer than in winter. We have looked through our observations in the winter of 2020, but </w:t>
      </w:r>
      <w:r w:rsidR="00654384">
        <w:rPr>
          <w:rFonts w:ascii="Arial" w:hAnsi="Arial" w:cs="Arial" w:hint="eastAsia"/>
          <w:color w:val="2E74B5" w:themeColor="accent5" w:themeShade="BF"/>
          <w:sz w:val="18"/>
          <w:szCs w:val="18"/>
        </w:rPr>
        <w:t>identified very limited ship clutter cases in precipitation.</w:t>
      </w:r>
      <w:r w:rsidR="0096493B">
        <w:rPr>
          <w:rFonts w:ascii="Arial" w:hAnsi="Arial" w:cs="Arial" w:hint="eastAsia"/>
          <w:color w:val="2E74B5" w:themeColor="accent5" w:themeShade="BF"/>
          <w:sz w:val="18"/>
          <w:szCs w:val="18"/>
        </w:rPr>
        <w:t xml:space="preserve"> </w:t>
      </w:r>
      <w:r w:rsidR="00654384">
        <w:rPr>
          <w:rFonts w:ascii="Arial" w:hAnsi="Arial" w:cs="Arial" w:hint="eastAsia"/>
          <w:color w:val="2E74B5" w:themeColor="accent5" w:themeShade="BF"/>
          <w:sz w:val="18"/>
          <w:szCs w:val="18"/>
        </w:rPr>
        <w:t>W</w:t>
      </w:r>
      <w:r w:rsidR="006C40C3" w:rsidRPr="00357CC7">
        <w:rPr>
          <w:rFonts w:ascii="Arial" w:hAnsi="Arial" w:cs="Arial"/>
          <w:color w:val="2E74B5" w:themeColor="accent5" w:themeShade="BF"/>
          <w:sz w:val="18"/>
          <w:szCs w:val="18"/>
        </w:rPr>
        <w:t xml:space="preserve">e found a single case where ship clutter was mixed with </w:t>
      </w:r>
      <w:r w:rsidR="006C40C3" w:rsidRPr="00357CC7">
        <w:rPr>
          <w:rFonts w:ascii="Arial" w:hAnsi="Arial" w:cs="Arial"/>
          <w:color w:val="2E74B5" w:themeColor="accent5" w:themeShade="BF"/>
          <w:sz w:val="18"/>
          <w:szCs w:val="18"/>
        </w:rPr>
        <w:lastRenderedPageBreak/>
        <w:t>precipitation, with just one ship clutter present across the entire PPI</w:t>
      </w:r>
      <w:r w:rsidR="006C40C3" w:rsidRPr="00F60406">
        <w:rPr>
          <w:rFonts w:ascii="Arial" w:hAnsi="Arial" w:cs="Arial"/>
          <w:color w:val="2E74B5" w:themeColor="accent5" w:themeShade="BF"/>
          <w:sz w:val="18"/>
          <w:szCs w:val="18"/>
        </w:rPr>
        <w:t xml:space="preserve">. Fortunately, </w:t>
      </w:r>
      <w:r w:rsidR="006C40C3">
        <w:rPr>
          <w:rFonts w:ascii="Arial" w:hAnsi="Arial" w:cs="Arial" w:hint="eastAsia"/>
          <w:color w:val="2E74B5" w:themeColor="accent5" w:themeShade="BF"/>
          <w:sz w:val="18"/>
          <w:szCs w:val="18"/>
        </w:rPr>
        <w:t>the</w:t>
      </w:r>
      <w:r w:rsidR="006C40C3">
        <w:rPr>
          <w:rFonts w:ascii="Arial" w:hAnsi="Arial" w:cs="Arial"/>
          <w:color w:val="2E74B5" w:themeColor="accent5" w:themeShade="BF"/>
          <w:sz w:val="18"/>
          <w:szCs w:val="18"/>
        </w:rPr>
        <w:t xml:space="preserve"> HSCI</w:t>
      </w:r>
      <w:r w:rsidR="006C40C3" w:rsidRPr="00F60406">
        <w:rPr>
          <w:rFonts w:ascii="Arial" w:hAnsi="Arial" w:cs="Arial"/>
          <w:color w:val="2E74B5" w:themeColor="accent5" w:themeShade="BF"/>
          <w:sz w:val="18"/>
          <w:szCs w:val="18"/>
        </w:rPr>
        <w:t xml:space="preserve"> algorithm successfully detected</w:t>
      </w:r>
      <w:r w:rsidR="006C40C3">
        <w:rPr>
          <w:rFonts w:ascii="Arial" w:hAnsi="Arial" w:cs="Arial"/>
          <w:color w:val="2E74B5" w:themeColor="accent5" w:themeShade="BF"/>
          <w:sz w:val="18"/>
          <w:szCs w:val="18"/>
        </w:rPr>
        <w:t xml:space="preserve"> and filtered</w:t>
      </w:r>
      <w:r w:rsidR="006C40C3" w:rsidRPr="00F60406">
        <w:rPr>
          <w:rFonts w:ascii="Arial" w:hAnsi="Arial" w:cs="Arial"/>
          <w:color w:val="2E74B5" w:themeColor="accent5" w:themeShade="BF"/>
          <w:sz w:val="18"/>
          <w:szCs w:val="18"/>
        </w:rPr>
        <w:t xml:space="preserve"> this ship clutter without excessively suppressing the surrounding precipitation echoes.</w:t>
      </w:r>
      <w:r w:rsidR="00654384">
        <w:rPr>
          <w:rFonts w:ascii="Arial" w:hAnsi="Arial" w:cs="Arial" w:hint="eastAsia"/>
          <w:color w:val="2E74B5" w:themeColor="accent5" w:themeShade="BF"/>
          <w:sz w:val="18"/>
          <w:szCs w:val="18"/>
        </w:rPr>
        <w:t xml:space="preserve"> </w:t>
      </w:r>
      <w:r w:rsidR="007A5B07" w:rsidRPr="0010795F">
        <w:rPr>
          <w:rFonts w:ascii="Arial" w:hAnsi="Arial" w:cs="Arial"/>
          <w:color w:val="2E74B5" w:themeColor="accent5" w:themeShade="BF"/>
          <w:sz w:val="18"/>
          <w:szCs w:val="18"/>
        </w:rPr>
        <w:t xml:space="preserve">Further clarification on this point has been added in </w:t>
      </w:r>
      <w:r w:rsidR="007A5B07" w:rsidRPr="009B5076">
        <w:rPr>
          <w:rFonts w:ascii="Arial" w:hAnsi="Arial" w:cs="Arial" w:hint="eastAsia"/>
          <w:color w:val="2E74B5" w:themeColor="accent5" w:themeShade="BF"/>
          <w:sz w:val="18"/>
          <w:szCs w:val="18"/>
        </w:rPr>
        <w:t>DATA section</w:t>
      </w:r>
      <w:r w:rsidR="007A5B07" w:rsidRPr="0010795F">
        <w:rPr>
          <w:rFonts w:ascii="Arial" w:hAnsi="Arial" w:cs="Arial"/>
          <w:color w:val="2E74B5" w:themeColor="accent5" w:themeShade="BF"/>
          <w:sz w:val="18"/>
          <w:szCs w:val="18"/>
        </w:rPr>
        <w:t xml:space="preserve"> of the manuscript (</w:t>
      </w:r>
      <w:r w:rsidR="007A5B07">
        <w:rPr>
          <w:rFonts w:ascii="Arial" w:hAnsi="Arial" w:cs="Arial"/>
          <w:color w:val="2E74B5" w:themeColor="accent5" w:themeShade="BF"/>
          <w:sz w:val="18"/>
          <w:szCs w:val="18"/>
        </w:rPr>
        <w:t xml:space="preserve">Line </w:t>
      </w:r>
      <w:r w:rsidR="00FA6A1A">
        <w:rPr>
          <w:rFonts w:ascii="Arial" w:hAnsi="Arial" w:cs="Arial"/>
          <w:color w:val="2E74B5" w:themeColor="accent5" w:themeShade="BF"/>
          <w:sz w:val="18"/>
          <w:szCs w:val="18"/>
        </w:rPr>
        <w:t>112</w:t>
      </w:r>
      <w:r w:rsidR="007A5B07">
        <w:rPr>
          <w:rFonts w:ascii="Arial" w:hAnsi="Arial" w:cs="Arial"/>
          <w:color w:val="2E74B5" w:themeColor="accent5" w:themeShade="BF"/>
          <w:sz w:val="18"/>
          <w:szCs w:val="18"/>
        </w:rPr>
        <w:t xml:space="preserve">; </w:t>
      </w:r>
      <w:r w:rsidR="007A5B07" w:rsidRPr="0010795F">
        <w:rPr>
          <w:rFonts w:ascii="Arial" w:hAnsi="Arial" w:cs="Arial"/>
          <w:color w:val="2E74B5" w:themeColor="accent5" w:themeShade="BF"/>
          <w:sz w:val="18"/>
          <w:szCs w:val="18"/>
        </w:rPr>
        <w:t>highlighted content).</w:t>
      </w:r>
    </w:p>
    <w:p w14:paraId="5B2AF197" w14:textId="240CDE48" w:rsidR="0096493B" w:rsidRDefault="0096493B" w:rsidP="00BD2687">
      <w:pPr>
        <w:snapToGrid w:val="0"/>
        <w:spacing w:beforeLines="50" w:before="211"/>
        <w:rPr>
          <w:rFonts w:ascii="Arial" w:hAnsi="Arial" w:cs="Arial"/>
          <w:color w:val="2E74B5" w:themeColor="accent5" w:themeShade="BF"/>
          <w:sz w:val="18"/>
          <w:szCs w:val="18"/>
        </w:rPr>
      </w:pPr>
      <w:r w:rsidRPr="007A5B07">
        <w:rPr>
          <w:rFonts w:ascii="Arial" w:hAnsi="Arial" w:cs="Arial"/>
          <w:color w:val="2E74B5" w:themeColor="accent5" w:themeShade="BF"/>
          <w:sz w:val="18"/>
          <w:szCs w:val="18"/>
        </w:rPr>
        <w:t xml:space="preserve">Lopez, P. (2009). A 5-yr 40-km-resolution global climatology of </w:t>
      </w:r>
      <w:proofErr w:type="spellStart"/>
      <w:r w:rsidRPr="007A5B07">
        <w:rPr>
          <w:rFonts w:ascii="Arial" w:hAnsi="Arial" w:cs="Arial"/>
          <w:color w:val="2E74B5" w:themeColor="accent5" w:themeShade="BF"/>
          <w:sz w:val="18"/>
          <w:szCs w:val="18"/>
        </w:rPr>
        <w:t>superrefraction</w:t>
      </w:r>
      <w:proofErr w:type="spellEnd"/>
      <w:r w:rsidRPr="007A5B07">
        <w:rPr>
          <w:rFonts w:ascii="Arial" w:hAnsi="Arial" w:cs="Arial"/>
          <w:color w:val="2E74B5" w:themeColor="accent5" w:themeShade="BF"/>
          <w:sz w:val="18"/>
          <w:szCs w:val="18"/>
        </w:rPr>
        <w:t xml:space="preserve"> for ground-based weather radars. Journal of applied meteorology and climatology, 48(1), 89-110.</w:t>
      </w:r>
    </w:p>
    <w:p w14:paraId="31F70D9E" w14:textId="492B7554" w:rsidR="00357CC7" w:rsidRDefault="00BF439D" w:rsidP="00A804CD">
      <w:pPr>
        <w:snapToGrid w:val="0"/>
        <w:spacing w:beforeLines="50" w:before="211"/>
        <w:jc w:val="center"/>
        <w:rPr>
          <w:rFonts w:ascii="Arial" w:hAnsi="Arial" w:cs="Arial"/>
          <w:color w:val="2E74B5" w:themeColor="accent5" w:themeShade="BF"/>
          <w:sz w:val="18"/>
          <w:szCs w:val="18"/>
        </w:rPr>
      </w:pPr>
      <w:r>
        <w:rPr>
          <w:rFonts w:ascii="Arial" w:hAnsi="Arial" w:cs="Arial"/>
          <w:noProof/>
          <w:color w:val="2E74B5" w:themeColor="accent5" w:themeShade="BF"/>
          <w:sz w:val="18"/>
          <w:szCs w:val="18"/>
        </w:rPr>
        <w:drawing>
          <wp:inline distT="0" distB="0" distL="0" distR="0" wp14:anchorId="48634D18" wp14:editId="4AA2BA66">
            <wp:extent cx="4443426" cy="4045659"/>
            <wp:effectExtent l="0" t="0" r="190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7">
                      <a:extLst>
                        <a:ext uri="{28A0092B-C50C-407E-A947-70E740481C1C}">
                          <a14:useLocalDpi xmlns:a14="http://schemas.microsoft.com/office/drawing/2010/main" val="0"/>
                        </a:ext>
                      </a:extLst>
                    </a:blip>
                    <a:stretch>
                      <a:fillRect/>
                    </a:stretch>
                  </pic:blipFill>
                  <pic:spPr>
                    <a:xfrm>
                      <a:off x="0" y="0"/>
                      <a:ext cx="4464902" cy="4065212"/>
                    </a:xfrm>
                    <a:prstGeom prst="rect">
                      <a:avLst/>
                    </a:prstGeom>
                  </pic:spPr>
                </pic:pic>
              </a:graphicData>
            </a:graphic>
          </wp:inline>
        </w:drawing>
      </w:r>
    </w:p>
    <w:p w14:paraId="234100CB" w14:textId="149DC8FE" w:rsidR="00BF439D" w:rsidRPr="00BF439D" w:rsidRDefault="00BF439D" w:rsidP="00BF439D">
      <w:pPr>
        <w:snapToGrid w:val="0"/>
        <w:spacing w:beforeLines="50" w:before="211"/>
        <w:jc w:val="center"/>
        <w:rPr>
          <w:rFonts w:ascii="Times New Roman" w:hAnsi="Times New Roman" w:cs="Times New Roman"/>
          <w:b/>
          <w:bCs/>
          <w:color w:val="2E74B5" w:themeColor="accent5" w:themeShade="BF"/>
          <w:sz w:val="18"/>
          <w:szCs w:val="18"/>
        </w:rPr>
      </w:pPr>
      <w:r w:rsidRPr="00BF439D">
        <w:rPr>
          <w:rFonts w:ascii="Times New Roman" w:hAnsi="Times New Roman" w:cs="Times New Roman"/>
          <w:b/>
          <w:bCs/>
          <w:sz w:val="18"/>
          <w:szCs w:val="18"/>
        </w:rPr>
        <w:t>Figure 1: 0.5° elevation of Kumpula radar using LFM waveform at 00</w:t>
      </w:r>
      <w:r>
        <w:rPr>
          <w:rFonts w:ascii="Times New Roman" w:hAnsi="Times New Roman" w:cs="Times New Roman"/>
          <w:b/>
          <w:bCs/>
          <w:sz w:val="18"/>
          <w:szCs w:val="18"/>
        </w:rPr>
        <w:t>1</w:t>
      </w:r>
      <w:r w:rsidRPr="00BF439D">
        <w:rPr>
          <w:rFonts w:ascii="Times New Roman" w:hAnsi="Times New Roman" w:cs="Times New Roman"/>
          <w:b/>
          <w:bCs/>
          <w:sz w:val="18"/>
          <w:szCs w:val="18"/>
        </w:rPr>
        <w:t xml:space="preserve">0 UTC </w:t>
      </w:r>
      <w:r w:rsidR="00A804CD">
        <w:rPr>
          <w:rFonts w:ascii="Times New Roman" w:hAnsi="Times New Roman" w:cs="Times New Roman"/>
          <w:b/>
          <w:bCs/>
          <w:sz w:val="18"/>
          <w:szCs w:val="18"/>
        </w:rPr>
        <w:t>6</w:t>
      </w:r>
      <w:r w:rsidRPr="00BF439D">
        <w:rPr>
          <w:rFonts w:ascii="Times New Roman" w:hAnsi="Times New Roman" w:cs="Times New Roman"/>
          <w:b/>
          <w:bCs/>
          <w:sz w:val="18"/>
          <w:szCs w:val="18"/>
        </w:rPr>
        <w:t xml:space="preserve"> J</w:t>
      </w:r>
      <w:r>
        <w:rPr>
          <w:rFonts w:ascii="Times New Roman" w:hAnsi="Times New Roman" w:cs="Times New Roman"/>
          <w:b/>
          <w:bCs/>
          <w:sz w:val="18"/>
          <w:szCs w:val="18"/>
        </w:rPr>
        <w:t>au</w:t>
      </w:r>
      <w:r w:rsidRPr="00BF439D">
        <w:rPr>
          <w:rFonts w:ascii="Times New Roman" w:hAnsi="Times New Roman" w:cs="Times New Roman"/>
          <w:b/>
          <w:bCs/>
          <w:sz w:val="18"/>
          <w:szCs w:val="18"/>
        </w:rPr>
        <w:t xml:space="preserve"> 2020. (a) Reflectivity before ship clutter filtering; (b) Reflectivity after ship clutter filtering; (c) </w:t>
      </w:r>
      <w:r w:rsidR="00A804CD">
        <w:rPr>
          <w:rFonts w:ascii="Times New Roman" w:hAnsi="Times New Roman" w:cs="Times New Roman"/>
          <w:b/>
          <w:bCs/>
          <w:sz w:val="18"/>
          <w:szCs w:val="18"/>
        </w:rPr>
        <w:t>D</w:t>
      </w:r>
      <w:r w:rsidR="00A804CD" w:rsidRPr="00A804CD">
        <w:rPr>
          <w:rFonts w:ascii="Times New Roman" w:hAnsi="Times New Roman" w:cs="Times New Roman"/>
          <w:b/>
          <w:bCs/>
          <w:sz w:val="18"/>
          <w:szCs w:val="18"/>
        </w:rPr>
        <w:t>ifferential reflectivity</w:t>
      </w:r>
      <w:r w:rsidRPr="00BF439D">
        <w:rPr>
          <w:rFonts w:ascii="Times New Roman" w:hAnsi="Times New Roman" w:cs="Times New Roman"/>
          <w:b/>
          <w:bCs/>
          <w:sz w:val="18"/>
          <w:szCs w:val="18"/>
        </w:rPr>
        <w:t xml:space="preserve"> before ship clutter filtering; (d) </w:t>
      </w:r>
      <w:r w:rsidR="00A804CD">
        <w:rPr>
          <w:rFonts w:ascii="Times New Roman" w:hAnsi="Times New Roman" w:cs="Times New Roman"/>
          <w:b/>
          <w:bCs/>
          <w:sz w:val="18"/>
          <w:szCs w:val="18"/>
        </w:rPr>
        <w:t>D</w:t>
      </w:r>
      <w:r w:rsidR="00A804CD" w:rsidRPr="00A804CD">
        <w:rPr>
          <w:rFonts w:ascii="Times New Roman" w:hAnsi="Times New Roman" w:cs="Times New Roman"/>
          <w:b/>
          <w:bCs/>
          <w:sz w:val="18"/>
          <w:szCs w:val="18"/>
        </w:rPr>
        <w:t>ifferential reflectivity</w:t>
      </w:r>
      <w:r w:rsidRPr="00BF439D">
        <w:rPr>
          <w:rFonts w:ascii="Times New Roman" w:hAnsi="Times New Roman" w:cs="Times New Roman"/>
          <w:b/>
          <w:bCs/>
          <w:sz w:val="18"/>
          <w:szCs w:val="18"/>
        </w:rPr>
        <w:t xml:space="preserve"> after ship clutter filtering</w:t>
      </w:r>
      <w:r w:rsidR="00A804CD" w:rsidRPr="00BF439D">
        <w:rPr>
          <w:rFonts w:ascii="Times New Roman" w:hAnsi="Times New Roman" w:cs="Times New Roman"/>
          <w:b/>
          <w:bCs/>
          <w:sz w:val="18"/>
          <w:szCs w:val="18"/>
        </w:rPr>
        <w:t>; (</w:t>
      </w:r>
      <w:r w:rsidR="00A804CD">
        <w:rPr>
          <w:rFonts w:ascii="Times New Roman" w:hAnsi="Times New Roman" w:cs="Times New Roman"/>
          <w:b/>
          <w:bCs/>
          <w:sz w:val="18"/>
          <w:szCs w:val="18"/>
        </w:rPr>
        <w:t>e</w:t>
      </w:r>
      <w:r w:rsidR="00A804CD" w:rsidRPr="00BF439D">
        <w:rPr>
          <w:rFonts w:ascii="Times New Roman" w:hAnsi="Times New Roman" w:cs="Times New Roman"/>
          <w:b/>
          <w:bCs/>
          <w:sz w:val="18"/>
          <w:szCs w:val="18"/>
        </w:rPr>
        <w:t xml:space="preserve">) </w:t>
      </w:r>
      <w:r w:rsidR="00A804CD">
        <w:rPr>
          <w:rFonts w:ascii="Times New Roman" w:hAnsi="Times New Roman" w:cs="Times New Roman"/>
          <w:b/>
          <w:bCs/>
          <w:sz w:val="18"/>
          <w:szCs w:val="18"/>
        </w:rPr>
        <w:t>C</w:t>
      </w:r>
      <w:r w:rsidR="00A804CD" w:rsidRPr="00A804CD">
        <w:rPr>
          <w:rFonts w:ascii="Times New Roman" w:hAnsi="Times New Roman" w:cs="Times New Roman"/>
          <w:b/>
          <w:bCs/>
          <w:sz w:val="18"/>
          <w:szCs w:val="18"/>
        </w:rPr>
        <w:t>orrelation coefficient</w:t>
      </w:r>
      <w:r w:rsidR="00A804CD" w:rsidRPr="00BF439D">
        <w:rPr>
          <w:rFonts w:ascii="Times New Roman" w:hAnsi="Times New Roman" w:cs="Times New Roman"/>
          <w:b/>
          <w:bCs/>
          <w:sz w:val="18"/>
          <w:szCs w:val="18"/>
        </w:rPr>
        <w:t xml:space="preserve"> before ship clutter filtering; (</w:t>
      </w:r>
      <w:r w:rsidR="00A804CD">
        <w:rPr>
          <w:rFonts w:ascii="Times New Roman" w:hAnsi="Times New Roman" w:cs="Times New Roman"/>
          <w:b/>
          <w:bCs/>
          <w:sz w:val="18"/>
          <w:szCs w:val="18"/>
        </w:rPr>
        <w:t>f</w:t>
      </w:r>
      <w:r w:rsidR="00A804CD" w:rsidRPr="00BF439D">
        <w:rPr>
          <w:rFonts w:ascii="Times New Roman" w:hAnsi="Times New Roman" w:cs="Times New Roman"/>
          <w:b/>
          <w:bCs/>
          <w:sz w:val="18"/>
          <w:szCs w:val="18"/>
        </w:rPr>
        <w:t xml:space="preserve">) </w:t>
      </w:r>
      <w:r w:rsidR="00A804CD">
        <w:rPr>
          <w:rFonts w:ascii="Times New Roman" w:hAnsi="Times New Roman" w:cs="Times New Roman"/>
          <w:b/>
          <w:bCs/>
          <w:sz w:val="18"/>
          <w:szCs w:val="18"/>
        </w:rPr>
        <w:t>C</w:t>
      </w:r>
      <w:r w:rsidR="00A804CD" w:rsidRPr="00A804CD">
        <w:rPr>
          <w:rFonts w:ascii="Times New Roman" w:hAnsi="Times New Roman" w:cs="Times New Roman"/>
          <w:b/>
          <w:bCs/>
          <w:sz w:val="18"/>
          <w:szCs w:val="18"/>
        </w:rPr>
        <w:t>orrelation coefficient</w:t>
      </w:r>
      <w:r w:rsidR="00A804CD" w:rsidRPr="00BF439D">
        <w:rPr>
          <w:rFonts w:ascii="Times New Roman" w:hAnsi="Times New Roman" w:cs="Times New Roman"/>
          <w:b/>
          <w:bCs/>
          <w:sz w:val="18"/>
          <w:szCs w:val="18"/>
        </w:rPr>
        <w:t xml:space="preserve"> after ship clutter filtering</w:t>
      </w:r>
      <w:r w:rsidRPr="00BF439D">
        <w:rPr>
          <w:rFonts w:ascii="Times New Roman" w:hAnsi="Times New Roman" w:cs="Times New Roman"/>
          <w:b/>
          <w:bCs/>
          <w:sz w:val="18"/>
          <w:szCs w:val="18"/>
        </w:rPr>
        <w:t>.</w:t>
      </w:r>
    </w:p>
    <w:p w14:paraId="2872955F" w14:textId="77777777" w:rsidR="003B23AD" w:rsidRPr="00B02A3E" w:rsidRDefault="003B23AD" w:rsidP="00BD2687">
      <w:pPr>
        <w:snapToGrid w:val="0"/>
        <w:spacing w:beforeLines="50" w:before="211"/>
        <w:rPr>
          <w:rFonts w:ascii="Arial" w:hAnsi="Arial" w:cs="Arial"/>
          <w:b/>
          <w:sz w:val="18"/>
          <w:szCs w:val="18"/>
        </w:rPr>
      </w:pPr>
    </w:p>
    <w:p w14:paraId="76F7329E" w14:textId="2E7E62E8" w:rsidR="00051422" w:rsidRPr="0010795F" w:rsidRDefault="00051422" w:rsidP="00BD2687">
      <w:pPr>
        <w:snapToGrid w:val="0"/>
        <w:spacing w:beforeLines="50" w:before="211"/>
        <w:rPr>
          <w:rFonts w:ascii="Arial" w:hAnsi="Arial" w:cs="Arial"/>
          <w:sz w:val="18"/>
          <w:szCs w:val="18"/>
        </w:rPr>
      </w:pPr>
      <w:r w:rsidRPr="0010795F">
        <w:rPr>
          <w:rFonts w:ascii="Arial" w:hAnsi="Arial" w:cs="Arial"/>
          <w:b/>
          <w:sz w:val="18"/>
          <w:szCs w:val="18"/>
        </w:rPr>
        <w:t xml:space="preserve">Question 7: </w:t>
      </w:r>
      <w:r w:rsidR="00265EB0" w:rsidRPr="0010795F">
        <w:rPr>
          <w:rFonts w:ascii="Arial" w:hAnsi="Arial" w:cs="Arial"/>
          <w:sz w:val="18"/>
          <w:szCs w:val="18"/>
        </w:rPr>
        <w:t>Figure 3 is explained in the introduction but appears on page 4. Consider repositioning it closer to the relevant text.</w:t>
      </w:r>
    </w:p>
    <w:p w14:paraId="633A5E85" w14:textId="0FCDEDB7" w:rsidR="004D523C" w:rsidRPr="0010795F" w:rsidRDefault="00A35DA3" w:rsidP="00BD2687">
      <w:pPr>
        <w:snapToGrid w:val="0"/>
        <w:spacing w:beforeLines="50" w:before="211"/>
        <w:rPr>
          <w:rFonts w:ascii="Arial" w:hAnsi="Arial" w:cs="Arial"/>
          <w:sz w:val="18"/>
          <w:szCs w:val="18"/>
        </w:rPr>
      </w:pPr>
      <w:r w:rsidRPr="0010795F">
        <w:rPr>
          <w:rFonts w:ascii="Arial" w:hAnsi="Arial" w:cs="Arial"/>
          <w:color w:val="2E74B5" w:themeColor="accent5" w:themeShade="BF"/>
          <w:sz w:val="18"/>
          <w:szCs w:val="18"/>
        </w:rPr>
        <w:t xml:space="preserve">Agree. </w:t>
      </w:r>
      <w:r w:rsidR="00353459" w:rsidRPr="0010795F">
        <w:rPr>
          <w:rFonts w:ascii="Arial" w:hAnsi="Arial" w:cs="Arial"/>
          <w:color w:val="2E74B5" w:themeColor="accent5" w:themeShade="BF"/>
          <w:sz w:val="18"/>
          <w:szCs w:val="18"/>
        </w:rPr>
        <w:t>The revised manuscript has been updated according to the reviewer’s suggestion to move Figure 3 forward.</w:t>
      </w:r>
    </w:p>
    <w:p w14:paraId="1E860141" w14:textId="105C7DE0" w:rsidR="00EC0D61" w:rsidRPr="0010795F" w:rsidRDefault="00EC0D61" w:rsidP="00BD2687">
      <w:pPr>
        <w:snapToGrid w:val="0"/>
        <w:spacing w:beforeLines="50" w:before="211"/>
        <w:rPr>
          <w:rFonts w:ascii="Arial" w:hAnsi="Arial" w:cs="Arial"/>
          <w:sz w:val="18"/>
          <w:szCs w:val="18"/>
        </w:rPr>
      </w:pPr>
      <w:r w:rsidRPr="0010795F">
        <w:rPr>
          <w:rFonts w:ascii="Arial" w:hAnsi="Arial" w:cs="Arial"/>
          <w:b/>
          <w:sz w:val="18"/>
          <w:szCs w:val="18"/>
        </w:rPr>
        <w:t xml:space="preserve">Question 8: </w:t>
      </w:r>
      <w:r w:rsidR="00265EB0" w:rsidRPr="0010795F">
        <w:rPr>
          <w:rFonts w:ascii="Arial" w:hAnsi="Arial" w:cs="Arial"/>
          <w:sz w:val="18"/>
          <w:szCs w:val="18"/>
        </w:rPr>
        <w:t>In several instances, figures are referenced before they are introduced or explained (e.g., Line 321: “This selective filtering approach is demonstrated in Figs. 11b and 12d…”). However, Figure 12 is not described until Line 345. This disrupts the flow and may confuse readers. Please revise for consistency.</w:t>
      </w:r>
    </w:p>
    <w:p w14:paraId="15EAE7B8" w14:textId="7A36E19F" w:rsidR="00EC0D61" w:rsidRPr="0010795F" w:rsidRDefault="00353459" w:rsidP="00BD2687">
      <w:pPr>
        <w:snapToGrid w:val="0"/>
        <w:spacing w:beforeLines="50" w:before="211"/>
        <w:rPr>
          <w:rFonts w:ascii="Arial" w:hAnsi="Arial" w:cs="Arial"/>
          <w:color w:val="2E74B5" w:themeColor="accent5" w:themeShade="BF"/>
          <w:sz w:val="18"/>
          <w:szCs w:val="18"/>
        </w:rPr>
      </w:pPr>
      <w:r w:rsidRPr="0010795F">
        <w:rPr>
          <w:rFonts w:ascii="Arial" w:hAnsi="Arial" w:cs="Arial"/>
          <w:color w:val="2E74B5" w:themeColor="accent5" w:themeShade="BF"/>
          <w:sz w:val="18"/>
          <w:szCs w:val="18"/>
        </w:rPr>
        <w:t>We mistakenly wrote 11d as 12d, which would indeed mislead readers. We are very grateful to the reviewer for their careful review and for pointing out this error on our behalf.</w:t>
      </w:r>
    </w:p>
    <w:p w14:paraId="193E4F52" w14:textId="19383896" w:rsidR="007B2F28" w:rsidRPr="0010795F" w:rsidRDefault="007B2F28" w:rsidP="00BD2687">
      <w:pPr>
        <w:snapToGrid w:val="0"/>
        <w:spacing w:beforeLines="50" w:before="211"/>
        <w:rPr>
          <w:rFonts w:ascii="Arial" w:hAnsi="Arial" w:cs="Arial"/>
          <w:sz w:val="18"/>
          <w:szCs w:val="18"/>
        </w:rPr>
      </w:pPr>
      <w:r w:rsidRPr="0010795F">
        <w:rPr>
          <w:rFonts w:ascii="Arial" w:hAnsi="Arial" w:cs="Arial"/>
          <w:b/>
          <w:sz w:val="18"/>
          <w:szCs w:val="18"/>
        </w:rPr>
        <w:t xml:space="preserve">Question 9: </w:t>
      </w:r>
      <w:r w:rsidR="00265EB0" w:rsidRPr="0010795F">
        <w:rPr>
          <w:rFonts w:ascii="Arial" w:hAnsi="Arial" w:cs="Arial"/>
          <w:sz w:val="18"/>
          <w:szCs w:val="18"/>
        </w:rPr>
        <w:t>Fig 12c: it is not clear if the plot shows the difference ‚before-</w:t>
      </w:r>
      <w:proofErr w:type="gramStart"/>
      <w:r w:rsidR="00265EB0" w:rsidRPr="0010795F">
        <w:rPr>
          <w:rFonts w:ascii="Arial" w:hAnsi="Arial" w:cs="Arial"/>
          <w:sz w:val="18"/>
          <w:szCs w:val="18"/>
        </w:rPr>
        <w:t>after‘ filtering</w:t>
      </w:r>
      <w:proofErr w:type="gramEnd"/>
      <w:r w:rsidR="00265EB0" w:rsidRPr="0010795F">
        <w:rPr>
          <w:rFonts w:ascii="Arial" w:hAnsi="Arial" w:cs="Arial"/>
          <w:sz w:val="18"/>
          <w:szCs w:val="18"/>
        </w:rPr>
        <w:t xml:space="preserve"> or </w:t>
      </w:r>
      <w:proofErr w:type="spellStart"/>
      <w:r w:rsidR="00265EB0" w:rsidRPr="0010795F">
        <w:rPr>
          <w:rFonts w:ascii="Arial" w:hAnsi="Arial" w:cs="Arial"/>
          <w:sz w:val="18"/>
          <w:szCs w:val="18"/>
        </w:rPr>
        <w:t>vise</w:t>
      </w:r>
      <w:proofErr w:type="spellEnd"/>
      <w:r w:rsidR="00265EB0" w:rsidRPr="0010795F">
        <w:rPr>
          <w:rFonts w:ascii="Arial" w:hAnsi="Arial" w:cs="Arial"/>
          <w:sz w:val="18"/>
          <w:szCs w:val="18"/>
        </w:rPr>
        <w:t xml:space="preserve"> versa</w:t>
      </w:r>
    </w:p>
    <w:p w14:paraId="0DAD5F79" w14:textId="5FB3E4BF" w:rsidR="00EC0D61" w:rsidRPr="00265EB0" w:rsidRDefault="001E0714" w:rsidP="00BD2687">
      <w:pPr>
        <w:snapToGrid w:val="0"/>
        <w:spacing w:beforeLines="50" w:before="211"/>
        <w:rPr>
          <w:rFonts w:ascii="Arial" w:hAnsi="Arial" w:cs="Arial"/>
          <w:sz w:val="18"/>
          <w:szCs w:val="18"/>
        </w:rPr>
      </w:pPr>
      <w:r w:rsidRPr="0010795F">
        <w:rPr>
          <w:rFonts w:ascii="Arial" w:hAnsi="Arial" w:cs="Arial"/>
          <w:color w:val="2E74B5" w:themeColor="accent5" w:themeShade="BF"/>
          <w:sz w:val="18"/>
          <w:szCs w:val="18"/>
        </w:rPr>
        <w:t xml:space="preserve">Agree. </w:t>
      </w:r>
      <w:r w:rsidR="00350120" w:rsidRPr="0010795F">
        <w:rPr>
          <w:rFonts w:ascii="Arial" w:hAnsi="Arial" w:cs="Arial"/>
          <w:color w:val="2E74B5" w:themeColor="accent5" w:themeShade="BF"/>
          <w:sz w:val="18"/>
          <w:szCs w:val="18"/>
        </w:rPr>
        <w:t>In the revised manuscript, we have supplemented the relevant explanations in Section 4.2 (</w:t>
      </w:r>
      <w:r w:rsidR="00B919AF">
        <w:rPr>
          <w:rFonts w:ascii="Arial" w:hAnsi="Arial" w:cs="Arial"/>
          <w:color w:val="2E74B5" w:themeColor="accent5" w:themeShade="BF"/>
          <w:sz w:val="18"/>
          <w:szCs w:val="18"/>
        </w:rPr>
        <w:t>Line 38</w:t>
      </w:r>
      <w:r w:rsidR="00FA6A1A">
        <w:rPr>
          <w:rFonts w:ascii="Arial" w:hAnsi="Arial" w:cs="Arial"/>
          <w:color w:val="2E74B5" w:themeColor="accent5" w:themeShade="BF"/>
          <w:sz w:val="18"/>
          <w:szCs w:val="18"/>
        </w:rPr>
        <w:t>9</w:t>
      </w:r>
      <w:r w:rsidR="00B919AF">
        <w:rPr>
          <w:rFonts w:ascii="Arial" w:hAnsi="Arial" w:cs="Arial"/>
          <w:color w:val="2E74B5" w:themeColor="accent5" w:themeShade="BF"/>
          <w:sz w:val="18"/>
          <w:szCs w:val="18"/>
        </w:rPr>
        <w:t xml:space="preserve">; </w:t>
      </w:r>
      <w:r w:rsidR="00350120" w:rsidRPr="0010795F">
        <w:rPr>
          <w:rFonts w:ascii="Arial" w:hAnsi="Arial" w:cs="Arial"/>
          <w:color w:val="2E74B5" w:themeColor="accent5" w:themeShade="BF"/>
          <w:sz w:val="18"/>
          <w:szCs w:val="18"/>
        </w:rPr>
        <w:t>highlighted content).</w:t>
      </w:r>
    </w:p>
    <w:p w14:paraId="45FD28E0" w14:textId="1CDF9B8D" w:rsidR="008D739C" w:rsidRPr="00FA6A1A" w:rsidRDefault="008D739C" w:rsidP="00247331">
      <w:pPr>
        <w:snapToGrid w:val="0"/>
        <w:spacing w:beforeLines="50" w:before="211"/>
        <w:rPr>
          <w:rFonts w:ascii="Arial" w:hAnsi="Arial" w:cs="Arial"/>
          <w:color w:val="2E74B5" w:themeColor="accent5" w:themeShade="BF"/>
          <w:sz w:val="18"/>
          <w:szCs w:val="18"/>
        </w:rPr>
      </w:pPr>
    </w:p>
    <w:sectPr w:rsidR="008D739C" w:rsidRPr="00FA6A1A" w:rsidSect="00136C55">
      <w:pgSz w:w="11900" w:h="16840"/>
      <w:pgMar w:top="1440" w:right="1800" w:bottom="1440" w:left="1800" w:header="851" w:footer="992" w:gutter="0"/>
      <w:cols w:space="425"/>
      <w:docGrid w:type="lines" w:linePitch="42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2D0BB5" w14:textId="77777777" w:rsidR="004A2F31" w:rsidRDefault="004A2F31" w:rsidP="00146555">
      <w:r>
        <w:separator/>
      </w:r>
    </w:p>
  </w:endnote>
  <w:endnote w:type="continuationSeparator" w:id="0">
    <w:p w14:paraId="0D275BE3" w14:textId="77777777" w:rsidR="004A2F31" w:rsidRDefault="004A2F31" w:rsidP="001465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82753E" w14:textId="77777777" w:rsidR="004A2F31" w:rsidRDefault="004A2F31" w:rsidP="00146555">
      <w:r>
        <w:separator/>
      </w:r>
    </w:p>
  </w:footnote>
  <w:footnote w:type="continuationSeparator" w:id="0">
    <w:p w14:paraId="359AFD02" w14:textId="77777777" w:rsidR="004A2F31" w:rsidRDefault="004A2F31" w:rsidP="001465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0012EA2"/>
    <w:multiLevelType w:val="hybridMultilevel"/>
    <w:tmpl w:val="D184589C"/>
    <w:lvl w:ilvl="0" w:tplc="8ED634D8">
      <w:start w:val="1"/>
      <w:numFmt w:val="decimal"/>
      <w:lvlText w:val="%1)"/>
      <w:lvlJc w:val="left"/>
      <w:pPr>
        <w:ind w:left="360" w:hanging="360"/>
      </w:pPr>
      <w:rPr>
        <w:rFonts w:hint="default"/>
      </w:r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3"/>
  <w:bordersDoNotSurroundHeader/>
  <w:bordersDoNotSurroundFooter/>
  <w:proofState w:spelling="clean" w:grammar="clean"/>
  <w:defaultTabStop w:val="420"/>
  <w:drawingGridVerticalSpacing w:val="20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6139"/>
    <w:rsid w:val="00004EBF"/>
    <w:rsid w:val="0001615C"/>
    <w:rsid w:val="00047EF4"/>
    <w:rsid w:val="00051422"/>
    <w:rsid w:val="00062674"/>
    <w:rsid w:val="00074E68"/>
    <w:rsid w:val="00077816"/>
    <w:rsid w:val="000923EE"/>
    <w:rsid w:val="000A1593"/>
    <w:rsid w:val="000A54D0"/>
    <w:rsid w:val="000B370B"/>
    <w:rsid w:val="000D4619"/>
    <w:rsid w:val="000E3AF6"/>
    <w:rsid w:val="0010795F"/>
    <w:rsid w:val="00107E60"/>
    <w:rsid w:val="001108A8"/>
    <w:rsid w:val="00135A12"/>
    <w:rsid w:val="00136C55"/>
    <w:rsid w:val="00146555"/>
    <w:rsid w:val="0015611F"/>
    <w:rsid w:val="00165B54"/>
    <w:rsid w:val="001663B0"/>
    <w:rsid w:val="001764B1"/>
    <w:rsid w:val="001A18CF"/>
    <w:rsid w:val="001A228B"/>
    <w:rsid w:val="001C5E87"/>
    <w:rsid w:val="001E0714"/>
    <w:rsid w:val="00200A6C"/>
    <w:rsid w:val="002128F6"/>
    <w:rsid w:val="002364CB"/>
    <w:rsid w:val="00247331"/>
    <w:rsid w:val="00265DF5"/>
    <w:rsid w:val="00265EB0"/>
    <w:rsid w:val="00280F71"/>
    <w:rsid w:val="00290602"/>
    <w:rsid w:val="00290FBD"/>
    <w:rsid w:val="0029237D"/>
    <w:rsid w:val="002A5124"/>
    <w:rsid w:val="002B0B19"/>
    <w:rsid w:val="002F6C5A"/>
    <w:rsid w:val="00350120"/>
    <w:rsid w:val="00353459"/>
    <w:rsid w:val="00357CC7"/>
    <w:rsid w:val="00370A11"/>
    <w:rsid w:val="003770F0"/>
    <w:rsid w:val="00392C02"/>
    <w:rsid w:val="003B23AD"/>
    <w:rsid w:val="003C3A32"/>
    <w:rsid w:val="00422983"/>
    <w:rsid w:val="00450FDD"/>
    <w:rsid w:val="00472EC6"/>
    <w:rsid w:val="00474BB0"/>
    <w:rsid w:val="00493E3C"/>
    <w:rsid w:val="004A2F31"/>
    <w:rsid w:val="004A4957"/>
    <w:rsid w:val="004B1A21"/>
    <w:rsid w:val="004C1606"/>
    <w:rsid w:val="004C3F9F"/>
    <w:rsid w:val="004D3DF8"/>
    <w:rsid w:val="004D523C"/>
    <w:rsid w:val="0051754D"/>
    <w:rsid w:val="0053064A"/>
    <w:rsid w:val="00545F02"/>
    <w:rsid w:val="00546E43"/>
    <w:rsid w:val="00555D0F"/>
    <w:rsid w:val="0056355B"/>
    <w:rsid w:val="00563790"/>
    <w:rsid w:val="00593ABB"/>
    <w:rsid w:val="005A49FE"/>
    <w:rsid w:val="005B1065"/>
    <w:rsid w:val="005B2038"/>
    <w:rsid w:val="0060158C"/>
    <w:rsid w:val="006068C4"/>
    <w:rsid w:val="00626C1D"/>
    <w:rsid w:val="00654384"/>
    <w:rsid w:val="006B2C60"/>
    <w:rsid w:val="006C40C3"/>
    <w:rsid w:val="006E6481"/>
    <w:rsid w:val="007119D8"/>
    <w:rsid w:val="0071622B"/>
    <w:rsid w:val="00731299"/>
    <w:rsid w:val="00767193"/>
    <w:rsid w:val="00770812"/>
    <w:rsid w:val="00777DF3"/>
    <w:rsid w:val="00786B00"/>
    <w:rsid w:val="00786CC7"/>
    <w:rsid w:val="007A553D"/>
    <w:rsid w:val="007A5B07"/>
    <w:rsid w:val="007B2F28"/>
    <w:rsid w:val="007E5650"/>
    <w:rsid w:val="007E6EDF"/>
    <w:rsid w:val="008000BF"/>
    <w:rsid w:val="00805CE9"/>
    <w:rsid w:val="00813766"/>
    <w:rsid w:val="00860BF8"/>
    <w:rsid w:val="0088212A"/>
    <w:rsid w:val="008A6865"/>
    <w:rsid w:val="008A749C"/>
    <w:rsid w:val="008B5778"/>
    <w:rsid w:val="008D739C"/>
    <w:rsid w:val="008E76BB"/>
    <w:rsid w:val="008F34D6"/>
    <w:rsid w:val="008F43D0"/>
    <w:rsid w:val="008F58A5"/>
    <w:rsid w:val="00912F24"/>
    <w:rsid w:val="00921E76"/>
    <w:rsid w:val="00942444"/>
    <w:rsid w:val="00962697"/>
    <w:rsid w:val="0096493B"/>
    <w:rsid w:val="009651CF"/>
    <w:rsid w:val="00985752"/>
    <w:rsid w:val="009B5076"/>
    <w:rsid w:val="009C55DF"/>
    <w:rsid w:val="009C56B4"/>
    <w:rsid w:val="009D7585"/>
    <w:rsid w:val="00A0581B"/>
    <w:rsid w:val="00A20FC1"/>
    <w:rsid w:val="00A21887"/>
    <w:rsid w:val="00A27677"/>
    <w:rsid w:val="00A35DA3"/>
    <w:rsid w:val="00A423E9"/>
    <w:rsid w:val="00A42ABB"/>
    <w:rsid w:val="00A75877"/>
    <w:rsid w:val="00A774D2"/>
    <w:rsid w:val="00A80154"/>
    <w:rsid w:val="00A804CD"/>
    <w:rsid w:val="00AA3EC7"/>
    <w:rsid w:val="00AA5123"/>
    <w:rsid w:val="00AB3A03"/>
    <w:rsid w:val="00AD6849"/>
    <w:rsid w:val="00AF0A32"/>
    <w:rsid w:val="00B01B82"/>
    <w:rsid w:val="00B02A3E"/>
    <w:rsid w:val="00B176D0"/>
    <w:rsid w:val="00B53B13"/>
    <w:rsid w:val="00B54E96"/>
    <w:rsid w:val="00B65FF2"/>
    <w:rsid w:val="00B73FB7"/>
    <w:rsid w:val="00B919AF"/>
    <w:rsid w:val="00B92489"/>
    <w:rsid w:val="00BA3259"/>
    <w:rsid w:val="00BB5308"/>
    <w:rsid w:val="00BC022F"/>
    <w:rsid w:val="00BD2687"/>
    <w:rsid w:val="00BD614B"/>
    <w:rsid w:val="00BD6529"/>
    <w:rsid w:val="00BE1711"/>
    <w:rsid w:val="00BE2637"/>
    <w:rsid w:val="00BF439D"/>
    <w:rsid w:val="00BF509E"/>
    <w:rsid w:val="00BF6A1E"/>
    <w:rsid w:val="00C15FD5"/>
    <w:rsid w:val="00C24AC2"/>
    <w:rsid w:val="00C57A7B"/>
    <w:rsid w:val="00C727F4"/>
    <w:rsid w:val="00C756FD"/>
    <w:rsid w:val="00C8538A"/>
    <w:rsid w:val="00C948EC"/>
    <w:rsid w:val="00CC56FB"/>
    <w:rsid w:val="00CD4393"/>
    <w:rsid w:val="00CF1B49"/>
    <w:rsid w:val="00D062F1"/>
    <w:rsid w:val="00D11BCA"/>
    <w:rsid w:val="00D14E76"/>
    <w:rsid w:val="00D42E46"/>
    <w:rsid w:val="00D46AE4"/>
    <w:rsid w:val="00D526DD"/>
    <w:rsid w:val="00D534DA"/>
    <w:rsid w:val="00D54335"/>
    <w:rsid w:val="00D5472D"/>
    <w:rsid w:val="00D57D90"/>
    <w:rsid w:val="00D7122A"/>
    <w:rsid w:val="00DA6D6D"/>
    <w:rsid w:val="00DB292F"/>
    <w:rsid w:val="00DD2A02"/>
    <w:rsid w:val="00E20691"/>
    <w:rsid w:val="00E321C0"/>
    <w:rsid w:val="00E35F87"/>
    <w:rsid w:val="00E56748"/>
    <w:rsid w:val="00E96139"/>
    <w:rsid w:val="00EB6DAD"/>
    <w:rsid w:val="00EB773E"/>
    <w:rsid w:val="00EC0D61"/>
    <w:rsid w:val="00EE1907"/>
    <w:rsid w:val="00EF13CA"/>
    <w:rsid w:val="00EF2D59"/>
    <w:rsid w:val="00EF5C57"/>
    <w:rsid w:val="00F041E9"/>
    <w:rsid w:val="00F178A7"/>
    <w:rsid w:val="00F34E8D"/>
    <w:rsid w:val="00F50570"/>
    <w:rsid w:val="00F60406"/>
    <w:rsid w:val="00FA6A1A"/>
    <w:rsid w:val="00FB185A"/>
    <w:rsid w:val="00FB7167"/>
    <w:rsid w:val="00FC272C"/>
    <w:rsid w:val="00FE5926"/>
    <w:rsid w:val="00FF0721"/>
    <w:rsid w:val="00FF7D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10E1B4"/>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E96139"/>
    <w:pPr>
      <w:spacing w:before="240" w:after="60"/>
      <w:jc w:val="center"/>
      <w:outlineLvl w:val="0"/>
    </w:pPr>
    <w:rPr>
      <w:rFonts w:asciiTheme="majorHAnsi" w:eastAsia="宋体" w:hAnsiTheme="majorHAnsi" w:cstheme="majorBidi"/>
      <w:b/>
      <w:bCs/>
      <w:sz w:val="32"/>
      <w:szCs w:val="32"/>
    </w:rPr>
  </w:style>
  <w:style w:type="character" w:customStyle="1" w:styleId="a4">
    <w:name w:val="标题 字符"/>
    <w:basedOn w:val="a0"/>
    <w:link w:val="a3"/>
    <w:uiPriority w:val="10"/>
    <w:rsid w:val="00E96139"/>
    <w:rPr>
      <w:rFonts w:asciiTheme="majorHAnsi" w:eastAsia="宋体" w:hAnsiTheme="majorHAnsi" w:cstheme="majorBidi"/>
      <w:b/>
      <w:bCs/>
      <w:sz w:val="32"/>
      <w:szCs w:val="32"/>
    </w:rPr>
  </w:style>
  <w:style w:type="paragraph" w:styleId="a5">
    <w:name w:val="header"/>
    <w:basedOn w:val="a"/>
    <w:link w:val="a6"/>
    <w:uiPriority w:val="99"/>
    <w:unhideWhenUsed/>
    <w:rsid w:val="00146555"/>
    <w:pPr>
      <w:tabs>
        <w:tab w:val="center" w:pos="4153"/>
        <w:tab w:val="right" w:pos="8306"/>
      </w:tabs>
      <w:snapToGrid w:val="0"/>
      <w:jc w:val="center"/>
    </w:pPr>
    <w:rPr>
      <w:sz w:val="18"/>
      <w:szCs w:val="18"/>
    </w:rPr>
  </w:style>
  <w:style w:type="character" w:customStyle="1" w:styleId="a6">
    <w:name w:val="页眉 字符"/>
    <w:basedOn w:val="a0"/>
    <w:link w:val="a5"/>
    <w:uiPriority w:val="99"/>
    <w:rsid w:val="00146555"/>
    <w:rPr>
      <w:sz w:val="18"/>
      <w:szCs w:val="18"/>
    </w:rPr>
  </w:style>
  <w:style w:type="paragraph" w:styleId="a7">
    <w:name w:val="footer"/>
    <w:basedOn w:val="a"/>
    <w:link w:val="a8"/>
    <w:uiPriority w:val="99"/>
    <w:unhideWhenUsed/>
    <w:rsid w:val="00146555"/>
    <w:pPr>
      <w:tabs>
        <w:tab w:val="center" w:pos="4153"/>
        <w:tab w:val="right" w:pos="8306"/>
      </w:tabs>
      <w:snapToGrid w:val="0"/>
      <w:jc w:val="left"/>
    </w:pPr>
    <w:rPr>
      <w:sz w:val="18"/>
      <w:szCs w:val="18"/>
    </w:rPr>
  </w:style>
  <w:style w:type="character" w:customStyle="1" w:styleId="a8">
    <w:name w:val="页脚 字符"/>
    <w:basedOn w:val="a0"/>
    <w:link w:val="a7"/>
    <w:uiPriority w:val="99"/>
    <w:rsid w:val="00146555"/>
    <w:rPr>
      <w:sz w:val="18"/>
      <w:szCs w:val="18"/>
    </w:rPr>
  </w:style>
  <w:style w:type="paragraph" w:styleId="a9">
    <w:name w:val="Revision"/>
    <w:hidden/>
    <w:uiPriority w:val="99"/>
    <w:semiHidden/>
    <w:rsid w:val="005A49FE"/>
  </w:style>
  <w:style w:type="paragraph" w:styleId="aa">
    <w:name w:val="Balloon Text"/>
    <w:basedOn w:val="a"/>
    <w:link w:val="ab"/>
    <w:uiPriority w:val="99"/>
    <w:semiHidden/>
    <w:unhideWhenUsed/>
    <w:rsid w:val="005A49FE"/>
    <w:rPr>
      <w:rFonts w:ascii="宋体" w:eastAsia="宋体"/>
      <w:sz w:val="18"/>
      <w:szCs w:val="18"/>
    </w:rPr>
  </w:style>
  <w:style w:type="character" w:customStyle="1" w:styleId="ab">
    <w:name w:val="批注框文本 字符"/>
    <w:basedOn w:val="a0"/>
    <w:link w:val="aa"/>
    <w:uiPriority w:val="99"/>
    <w:semiHidden/>
    <w:rsid w:val="005A49FE"/>
    <w:rPr>
      <w:rFonts w:ascii="宋体" w:eastAsia="宋体"/>
      <w:sz w:val="18"/>
      <w:szCs w:val="18"/>
    </w:rPr>
  </w:style>
  <w:style w:type="paragraph" w:styleId="ac">
    <w:name w:val="List Paragraph"/>
    <w:basedOn w:val="a"/>
    <w:uiPriority w:val="34"/>
    <w:qFormat/>
    <w:rsid w:val="00247331"/>
    <w:pPr>
      <w:ind w:firstLineChars="200" w:firstLine="420"/>
    </w:pPr>
  </w:style>
  <w:style w:type="character" w:styleId="ad">
    <w:name w:val="Strong"/>
    <w:basedOn w:val="a0"/>
    <w:uiPriority w:val="22"/>
    <w:qFormat/>
    <w:rsid w:val="004D3DF8"/>
    <w:rPr>
      <w:b/>
      <w:bCs/>
    </w:rPr>
  </w:style>
  <w:style w:type="paragraph" w:styleId="ae">
    <w:name w:val="Normal (Web)"/>
    <w:basedOn w:val="a"/>
    <w:uiPriority w:val="99"/>
    <w:unhideWhenUsed/>
    <w:rsid w:val="00EF2D59"/>
    <w:pPr>
      <w:widowControl/>
      <w:spacing w:before="100" w:beforeAutospacing="1" w:after="100" w:afterAutospacing="1"/>
      <w:jc w:val="left"/>
    </w:pPr>
    <w:rPr>
      <w:rFonts w:ascii="宋体" w:eastAsia="宋体" w:hAnsi="宋体" w:cs="宋体"/>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4505680">
      <w:bodyDiv w:val="1"/>
      <w:marLeft w:val="0"/>
      <w:marRight w:val="0"/>
      <w:marTop w:val="0"/>
      <w:marBottom w:val="0"/>
      <w:divBdr>
        <w:top w:val="none" w:sz="0" w:space="0" w:color="auto"/>
        <w:left w:val="none" w:sz="0" w:space="0" w:color="auto"/>
        <w:bottom w:val="none" w:sz="0" w:space="0" w:color="auto"/>
        <w:right w:val="none" w:sz="0" w:space="0" w:color="auto"/>
      </w:divBdr>
    </w:div>
    <w:div w:id="756899590">
      <w:bodyDiv w:val="1"/>
      <w:marLeft w:val="0"/>
      <w:marRight w:val="0"/>
      <w:marTop w:val="0"/>
      <w:marBottom w:val="0"/>
      <w:divBdr>
        <w:top w:val="none" w:sz="0" w:space="0" w:color="auto"/>
        <w:left w:val="none" w:sz="0" w:space="0" w:color="auto"/>
        <w:bottom w:val="none" w:sz="0" w:space="0" w:color="auto"/>
        <w:right w:val="none" w:sz="0" w:space="0" w:color="auto"/>
      </w:divBdr>
    </w:div>
    <w:div w:id="15590552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DengXian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DengXian"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2376</TotalTime>
  <Pages>3</Pages>
  <Words>1828</Words>
  <Characters>10426</Characters>
  <Application>Microsoft Office Word</Application>
  <DocSecurity>0</DocSecurity>
  <Lines>86</Lines>
  <Paragraphs>24</Paragraphs>
  <ScaleCrop>false</ScaleCrop>
  <Company/>
  <LinksUpToDate>false</LinksUpToDate>
  <CharactersWithSpaces>12230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用户</dc:creator>
  <cp:keywords/>
  <dc:description/>
  <cp:lastModifiedBy>Microsoft Office User</cp:lastModifiedBy>
  <cp:revision>61</cp:revision>
  <dcterms:created xsi:type="dcterms:W3CDTF">2023-07-09T00:32:00Z</dcterms:created>
  <dcterms:modified xsi:type="dcterms:W3CDTF">2025-04-27T15:05:00Z</dcterms:modified>
</cp:coreProperties>
</file>